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7627" w14:textId="57667225" w:rsidR="00584B65" w:rsidRPr="00584B65" w:rsidRDefault="0007590A" w:rsidP="0007590A">
      <w:pPr>
        <w:shd w:val="clear" w:color="auto" w:fill="FFFFFF"/>
        <w:spacing w:line="315" w:lineRule="atLeast"/>
        <w:jc w:val="center"/>
        <w:textAlignment w:val="baseline"/>
        <w:rPr>
          <w:rFonts w:ascii="Arial" w:eastAsia="Times New Roman" w:hAnsi="Arial" w:cs="Times New Roman"/>
          <w:b/>
          <w:bCs/>
          <w:color w:val="000000"/>
          <w:sz w:val="24"/>
          <w:szCs w:val="24"/>
          <w:lang w:eastAsia="it-IT"/>
        </w:rPr>
      </w:pPr>
      <w:r w:rsidRPr="0007590A">
        <w:rPr>
          <w:rFonts w:ascii="Arial" w:eastAsia="Times New Roman" w:hAnsi="Arial" w:cs="Times New Roman"/>
          <w:b/>
          <w:bCs/>
          <w:color w:val="000000"/>
          <w:sz w:val="24"/>
          <w:szCs w:val="24"/>
          <w:lang w:eastAsia="it-IT"/>
        </w:rPr>
        <w:t xml:space="preserve">sintesi </w:t>
      </w:r>
      <w:r w:rsidR="008C3E21" w:rsidRPr="0007590A">
        <w:rPr>
          <w:rFonts w:ascii="Arial" w:eastAsia="Times New Roman" w:hAnsi="Arial" w:cs="Times New Roman"/>
          <w:b/>
          <w:bCs/>
          <w:color w:val="000000"/>
          <w:sz w:val="24"/>
          <w:szCs w:val="24"/>
          <w:lang w:eastAsia="it-IT"/>
        </w:rPr>
        <w:t>del</w:t>
      </w:r>
      <w:r w:rsidR="00584B65" w:rsidRPr="00584B65">
        <w:rPr>
          <w:rFonts w:ascii="Arial" w:eastAsia="Times New Roman" w:hAnsi="Arial" w:cs="Times New Roman"/>
          <w:b/>
          <w:bCs/>
          <w:color w:val="000000"/>
          <w:sz w:val="24"/>
          <w:szCs w:val="24"/>
          <w:lang w:eastAsia="it-IT"/>
        </w:rPr>
        <w:t>l</w:t>
      </w:r>
      <w:r w:rsidR="008C3E21" w:rsidRPr="0007590A">
        <w:rPr>
          <w:rFonts w:ascii="Arial" w:eastAsia="Times New Roman" w:hAnsi="Arial" w:cs="Times New Roman"/>
          <w:b/>
          <w:bCs/>
          <w:color w:val="000000"/>
          <w:sz w:val="24"/>
          <w:szCs w:val="24"/>
          <w:lang w:eastAsia="it-IT"/>
        </w:rPr>
        <w:t>e misure contenute nella nuova l</w:t>
      </w:r>
      <w:r w:rsidR="00584B65" w:rsidRPr="00584B65">
        <w:rPr>
          <w:rFonts w:ascii="Arial" w:eastAsia="Times New Roman" w:hAnsi="Arial" w:cs="Times New Roman"/>
          <w:b/>
          <w:bCs/>
          <w:color w:val="000000"/>
          <w:sz w:val="24"/>
          <w:szCs w:val="24"/>
          <w:lang w:eastAsia="it-IT"/>
        </w:rPr>
        <w:t>egge di Bilancio 2022 per le imprese</w:t>
      </w:r>
    </w:p>
    <w:p w14:paraId="01DA76FC" w14:textId="292D01E3" w:rsidR="00584B65" w:rsidRPr="00584B65" w:rsidRDefault="008C3E21"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8C3E21">
        <w:rPr>
          <w:rFonts w:ascii="Arial" w:eastAsia="Times New Roman" w:hAnsi="Arial" w:cs="Times New Roman"/>
          <w:b/>
          <w:bCs/>
          <w:color w:val="000000"/>
          <w:sz w:val="27"/>
          <w:szCs w:val="27"/>
          <w:lang w:eastAsia="it-IT"/>
        </w:rPr>
        <w:t xml:space="preserve">SUPERBONUS </w:t>
      </w:r>
      <w:r w:rsidR="00584B65" w:rsidRPr="00584B65">
        <w:rPr>
          <w:rFonts w:ascii="Arial" w:eastAsia="Times New Roman" w:hAnsi="Arial" w:cs="Times New Roman"/>
          <w:b/>
          <w:bCs/>
          <w:color w:val="000000"/>
          <w:sz w:val="27"/>
          <w:szCs w:val="27"/>
          <w:lang w:eastAsia="it-IT"/>
        </w:rPr>
        <w:t>110%</w:t>
      </w:r>
    </w:p>
    <w:p w14:paraId="4260F0F7"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In primo luogo, </w:t>
      </w:r>
      <w:r w:rsidRPr="00584B65">
        <w:rPr>
          <w:rFonts w:ascii="Arial" w:eastAsia="Times New Roman" w:hAnsi="Arial" w:cs="Times New Roman"/>
          <w:color w:val="000000"/>
          <w:sz w:val="23"/>
          <w:szCs w:val="23"/>
          <w:bdr w:val="none" w:sz="0" w:space="0" w:color="auto" w:frame="1"/>
          <w:lang w:eastAsia="it-IT"/>
        </w:rPr>
        <w:t>cambia il calendario</w:t>
      </w:r>
      <w:r w:rsidRPr="00584B65">
        <w:rPr>
          <w:rFonts w:ascii="Arial" w:eastAsia="Times New Roman" w:hAnsi="Arial" w:cs="Times New Roman"/>
          <w:color w:val="000000"/>
          <w:sz w:val="23"/>
          <w:szCs w:val="23"/>
          <w:lang w:eastAsia="it-IT"/>
        </w:rPr>
        <w:t> del superbonus (art. 1, comma 28, lettere a-e, lettere g-l). In particolare, ferma restando la scadenza del 30 giugno 2022, la maxi-detrazione viene prorogata:</w:t>
      </w:r>
    </w:p>
    <w:p w14:paraId="1C090EEC"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fino al 31 dicembre 2025</w:t>
      </w:r>
      <w:r w:rsidRPr="00584B65">
        <w:rPr>
          <w:rFonts w:ascii="Arial" w:eastAsia="Times New Roman" w:hAnsi="Arial" w:cs="Times New Roman"/>
          <w:color w:val="000000"/>
          <w:sz w:val="23"/>
          <w:szCs w:val="23"/>
          <w:lang w:eastAsia="it-IT"/>
        </w:rPr>
        <w:t>, per gli interventi effettuati dai condomìni, dalle persone fisiche proprietarie (o comproprietarie) di edifici composti fino a 4 unità immobiliari e da ONLUS, organizzazioni di volontariato e associazioni di promozione sociale, compresi gli interventi effettuati dalle persone fisiche sulle singole unità immobiliari all’interno dello stesso condominio o dello stesso edificio interamente posseduto. La percentuale di detrazione sarà pari al 110% fino al 31 dicembre 2023, al 70% nel 2024 e al 65% nel 2025;</w:t>
      </w:r>
    </w:p>
    <w:p w14:paraId="228E2963"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fino al 31 dicembre 2023</w:t>
      </w:r>
      <w:r w:rsidRPr="00584B65">
        <w:rPr>
          <w:rFonts w:ascii="Arial" w:eastAsia="Times New Roman" w:hAnsi="Arial" w:cs="Times New Roman"/>
          <w:color w:val="000000"/>
          <w:sz w:val="23"/>
          <w:szCs w:val="23"/>
          <w:lang w:eastAsia="it-IT"/>
        </w:rPr>
        <w:t>, per gli interventi effettuati dagli IACP ed enti equivalenti, compresi quelli effettuati dalle persone fisiche sulle singole unità immobiliari all’interno dello stesso edificio, e dalle cooperative a proprietà indivisa;</w:t>
      </w:r>
    </w:p>
    <w:p w14:paraId="42D6708A" w14:textId="77777777" w:rsidR="00584B65" w:rsidRPr="00584B65" w:rsidRDefault="00584B65" w:rsidP="00584B65">
      <w:pPr>
        <w:shd w:val="clear" w:color="auto" w:fill="FFFFFF"/>
        <w:spacing w:line="315" w:lineRule="atLeast"/>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fino al 31 dicembre 2022</w:t>
      </w:r>
      <w:r w:rsidRPr="00584B65">
        <w:rPr>
          <w:rFonts w:ascii="Arial" w:eastAsia="Times New Roman" w:hAnsi="Arial" w:cs="Times New Roman"/>
          <w:color w:val="000000"/>
          <w:sz w:val="23"/>
          <w:szCs w:val="23"/>
          <w:lang w:eastAsia="it-IT"/>
        </w:rPr>
        <w:t>, per gli interventi effettuati su unità immobiliari dalle persone fisiche: il superbonus spetta per le spese sostenute.</w:t>
      </w:r>
    </w:p>
    <w:p w14:paraId="4ABD4589"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Per gli interventi effettuati nei comuni dei territori colpiti da eventi sismici verificatisi a far data dal 1° aprile 2009 dove sia stato dichiarato lo stato di emergenza, in tutti i precedenti casi, il superbonus è riconosciuto nella misura del 110% per le spese sostenute entro il 31 dicembre 2025 (art. 1, comma 28, lettera f).</w:t>
      </w:r>
    </w:p>
    <w:p w14:paraId="5A21717C"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43 chiarisce quali sono i fattori di conversione in energia primaria da applicarsi per la predisposizione degli attestati di prestazione energetica allegati all’asseverazione necessaria per fruire della detrazione del superbonus.</w:t>
      </w:r>
    </w:p>
    <w:p w14:paraId="500B7E48" w14:textId="5CE139EB"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B</w:t>
      </w:r>
      <w:r w:rsidR="008C3E21" w:rsidRPr="008C3E21">
        <w:rPr>
          <w:rFonts w:ascii="Arial" w:eastAsia="Times New Roman" w:hAnsi="Arial" w:cs="Times New Roman"/>
          <w:b/>
          <w:bCs/>
          <w:color w:val="000000"/>
          <w:sz w:val="27"/>
          <w:szCs w:val="27"/>
          <w:lang w:eastAsia="it-IT"/>
        </w:rPr>
        <w:t>ONUS FACCIATE</w:t>
      </w:r>
    </w:p>
    <w:p w14:paraId="63F880FF"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bonus facciate per gli interventi finalizzati al recupero o restauro della facciata esterna degli edifici esistenti viene confermato anche nel 2022, ma con aliquota al 60% (art. 1, comma 39).</w:t>
      </w:r>
    </w:p>
    <w:p w14:paraId="4F79A59B" w14:textId="3A6377A2" w:rsidR="00584B65" w:rsidRPr="00584B65" w:rsidRDefault="008C3E21"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8C3E21">
        <w:rPr>
          <w:rFonts w:ascii="Arial" w:eastAsia="Times New Roman" w:hAnsi="Arial" w:cs="Times New Roman"/>
          <w:b/>
          <w:bCs/>
          <w:color w:val="000000"/>
          <w:sz w:val="27"/>
          <w:szCs w:val="27"/>
          <w:lang w:eastAsia="it-IT"/>
        </w:rPr>
        <w:t xml:space="preserve">BONUS EDILIZI </w:t>
      </w:r>
      <w:r w:rsidR="00584B65" w:rsidRPr="00584B65">
        <w:rPr>
          <w:rFonts w:ascii="Arial" w:eastAsia="Times New Roman" w:hAnsi="Arial" w:cs="Times New Roman"/>
          <w:b/>
          <w:bCs/>
          <w:color w:val="000000"/>
          <w:sz w:val="27"/>
          <w:szCs w:val="27"/>
          <w:lang w:eastAsia="it-IT"/>
        </w:rPr>
        <w:t>“minori”</w:t>
      </w:r>
    </w:p>
    <w:p w14:paraId="08D30587"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Vengono prorogati invece </w:t>
      </w:r>
      <w:r w:rsidRPr="00584B65">
        <w:rPr>
          <w:rFonts w:ascii="Arial" w:eastAsia="Times New Roman" w:hAnsi="Arial" w:cs="Times New Roman"/>
          <w:color w:val="000000"/>
          <w:sz w:val="23"/>
          <w:szCs w:val="23"/>
          <w:bdr w:val="none" w:sz="0" w:space="0" w:color="auto" w:frame="1"/>
          <w:lang w:eastAsia="it-IT"/>
        </w:rPr>
        <w:t>fino al 31 dicembre 2024</w:t>
      </w:r>
      <w:r w:rsidRPr="00584B65">
        <w:rPr>
          <w:rFonts w:ascii="Arial" w:eastAsia="Times New Roman" w:hAnsi="Arial" w:cs="Times New Roman"/>
          <w:color w:val="000000"/>
          <w:sz w:val="23"/>
          <w:szCs w:val="23"/>
          <w:lang w:eastAsia="it-IT"/>
        </w:rPr>
        <w:t> i seguenti bonus “minori” (art. 1, commi 37, 38):</w:t>
      </w:r>
    </w:p>
    <w:p w14:paraId="2287B3D5"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la detrazione IRPEF per gli interventi di </w:t>
      </w:r>
      <w:r w:rsidRPr="00584B65">
        <w:rPr>
          <w:rFonts w:ascii="Arial" w:eastAsia="Times New Roman" w:hAnsi="Arial" w:cs="Times New Roman"/>
          <w:color w:val="000000"/>
          <w:sz w:val="23"/>
          <w:szCs w:val="23"/>
          <w:bdr w:val="none" w:sz="0" w:space="0" w:color="auto" w:frame="1"/>
          <w:lang w:eastAsia="it-IT"/>
        </w:rPr>
        <w:t>ristrutturazione edilizia</w:t>
      </w:r>
      <w:r w:rsidRPr="00584B65">
        <w:rPr>
          <w:rFonts w:ascii="Arial" w:eastAsia="Times New Roman" w:hAnsi="Arial" w:cs="Times New Roman"/>
          <w:color w:val="000000"/>
          <w:sz w:val="23"/>
          <w:szCs w:val="23"/>
          <w:lang w:eastAsia="it-IT"/>
        </w:rPr>
        <w:t> nella misura potenziata del 50%, con limite di spesa a 96.000;</w:t>
      </w:r>
    </w:p>
    <w:p w14:paraId="4B0AB72A"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w:t>
      </w:r>
      <w:r w:rsidRPr="00584B65">
        <w:rPr>
          <w:rFonts w:ascii="Arial" w:eastAsia="Times New Roman" w:hAnsi="Arial" w:cs="Times New Roman"/>
          <w:color w:val="000000"/>
          <w:sz w:val="23"/>
          <w:szCs w:val="23"/>
          <w:bdr w:val="none" w:sz="0" w:space="0" w:color="auto" w:frame="1"/>
          <w:lang w:eastAsia="it-IT"/>
        </w:rPr>
        <w:t>ecobonus</w:t>
      </w: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ordinario</w:t>
      </w:r>
      <w:r w:rsidRPr="00584B65">
        <w:rPr>
          <w:rFonts w:ascii="Arial" w:eastAsia="Times New Roman" w:hAnsi="Arial" w:cs="Times New Roman"/>
          <w:color w:val="000000"/>
          <w:sz w:val="23"/>
          <w:szCs w:val="23"/>
          <w:lang w:eastAsia="it-IT"/>
        </w:rPr>
        <w:t>” al 50-65-70-75% per gli interventi di riqualificazione energetica delle singole unità immobiliari;</w:t>
      </w:r>
    </w:p>
    <w:p w14:paraId="7521965A"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 il </w:t>
      </w:r>
      <w:r w:rsidRPr="00584B65">
        <w:rPr>
          <w:rFonts w:ascii="Arial" w:eastAsia="Times New Roman" w:hAnsi="Arial" w:cs="Times New Roman"/>
          <w:color w:val="000000"/>
          <w:sz w:val="23"/>
          <w:szCs w:val="23"/>
          <w:bdr w:val="none" w:sz="0" w:space="0" w:color="auto" w:frame="1"/>
          <w:lang w:eastAsia="it-IT"/>
        </w:rPr>
        <w:t>sisma bonus</w:t>
      </w: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ordinario</w:t>
      </w:r>
      <w:r w:rsidRPr="00584B65">
        <w:rPr>
          <w:rFonts w:ascii="Arial" w:eastAsia="Times New Roman" w:hAnsi="Arial" w:cs="Times New Roman"/>
          <w:color w:val="000000"/>
          <w:sz w:val="23"/>
          <w:szCs w:val="23"/>
          <w:lang w:eastAsia="it-IT"/>
        </w:rPr>
        <w:t>” (anche acquisti) al 50-70-75-80-85% (di cui all’art. 16, D.L. n. 63/2013);</w:t>
      </w:r>
    </w:p>
    <w:p w14:paraId="24920191"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il </w:t>
      </w:r>
      <w:r w:rsidRPr="00584B65">
        <w:rPr>
          <w:rFonts w:ascii="Arial" w:eastAsia="Times New Roman" w:hAnsi="Arial" w:cs="Times New Roman"/>
          <w:color w:val="000000"/>
          <w:sz w:val="23"/>
          <w:szCs w:val="23"/>
          <w:bdr w:val="none" w:sz="0" w:space="0" w:color="auto" w:frame="1"/>
          <w:lang w:eastAsia="it-IT"/>
        </w:rPr>
        <w:t>bonus mobili</w:t>
      </w:r>
      <w:r w:rsidRPr="00584B65">
        <w:rPr>
          <w:rFonts w:ascii="Arial" w:eastAsia="Times New Roman" w:hAnsi="Arial" w:cs="Times New Roman"/>
          <w:color w:val="000000"/>
          <w:sz w:val="23"/>
          <w:szCs w:val="23"/>
          <w:lang w:eastAsia="it-IT"/>
        </w:rPr>
        <w:t> per l’acquisto di mobili e di grandi elettrodomestici di classe energetica elevata finalizzati all'arredo dell'immobile, con spesa massima detraibile pari a 10.000 euro nel 2022 e a 5.000 euro nel 2023 e 2024;</w:t>
      </w:r>
    </w:p>
    <w:p w14:paraId="58C329BA" w14:textId="5F64DBA5" w:rsid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il </w:t>
      </w:r>
      <w:r w:rsidRPr="00584B65">
        <w:rPr>
          <w:rFonts w:ascii="Arial" w:eastAsia="Times New Roman" w:hAnsi="Arial" w:cs="Times New Roman"/>
          <w:color w:val="000000"/>
          <w:sz w:val="23"/>
          <w:szCs w:val="23"/>
          <w:bdr w:val="none" w:sz="0" w:space="0" w:color="auto" w:frame="1"/>
          <w:lang w:eastAsia="it-IT"/>
        </w:rPr>
        <w:t>bonus verde</w:t>
      </w:r>
      <w:r w:rsidRPr="00584B65">
        <w:rPr>
          <w:rFonts w:ascii="Arial" w:eastAsia="Times New Roman" w:hAnsi="Arial" w:cs="Times New Roman"/>
          <w:color w:val="000000"/>
          <w:sz w:val="23"/>
          <w:szCs w:val="23"/>
          <w:lang w:eastAsia="it-IT"/>
        </w:rPr>
        <w:t>, la detrazione IRPEF del 36% per gli interventi di sistemazione a verde di aree scoperte private di edifici esistenti, unità immobiliari, pertinenze o recinzioni, impianti di irrigazione e realizzazione di pozzi nonché di realizzazione di coperture a verde e di giardini pensili (di cui all’art. 1, commi 12-15, legge n. 205/2017).</w:t>
      </w:r>
    </w:p>
    <w:p w14:paraId="510B7014"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bdr w:val="none" w:sz="0" w:space="0" w:color="auto" w:frame="1"/>
          <w:lang w:eastAsia="it-IT"/>
        </w:rPr>
        <w:t>Bonus per sistemi di filtraggio acqua potabile</w:t>
      </w:r>
    </w:p>
    <w:p w14:paraId="3ED79FBC"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Prorogato fino al 31 dicembre 2023 il credito d'imposta credito d’imposta per l’acquisto di sistemi di filtraggio acqua potabile (art. 1, comma 713).</w:t>
      </w:r>
    </w:p>
    <w:p w14:paraId="7117BB6C"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bonus - istituito dall’art. 1, commi 1087-1089 della legge di Bilancio 2021 - è attribuito alle persone fisiche e ai soggetti esercenti attività d'impresa, arti e professioni, nonché agli enti non commerciali, nella misura del </w:t>
      </w:r>
      <w:r w:rsidRPr="00584B65">
        <w:rPr>
          <w:rFonts w:ascii="Arial" w:eastAsia="Times New Roman" w:hAnsi="Arial" w:cs="Times New Roman"/>
          <w:color w:val="000000"/>
          <w:sz w:val="23"/>
          <w:szCs w:val="23"/>
          <w:bdr w:val="none" w:sz="0" w:space="0" w:color="auto" w:frame="1"/>
          <w:lang w:eastAsia="it-IT"/>
        </w:rPr>
        <w:t>50% delle spese sostenute</w:t>
      </w:r>
      <w:r w:rsidRPr="00584B65">
        <w:rPr>
          <w:rFonts w:ascii="Arial" w:eastAsia="Times New Roman" w:hAnsi="Arial" w:cs="Times New Roman"/>
          <w:color w:val="000000"/>
          <w:sz w:val="23"/>
          <w:szCs w:val="23"/>
          <w:lang w:eastAsia="it-IT"/>
        </w:rPr>
        <w:t> per l'acquisto di sistemi di filtraggio, mineralizzazione, raffreddamento e addizione di anidride carbonica alimentare E290 e miglioramento qualitativo delle acque per consumo umano erogate da acquedotti.</w:t>
      </w:r>
    </w:p>
    <w:p w14:paraId="367E0D0E"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beneficio è riconosciuto fino ad un ammontare complessivo non superiore, per le persone fisiche esercenti attività economica, a </w:t>
      </w:r>
      <w:r w:rsidRPr="00584B65">
        <w:rPr>
          <w:rFonts w:ascii="Arial" w:eastAsia="Times New Roman" w:hAnsi="Arial" w:cs="Times New Roman"/>
          <w:color w:val="000000"/>
          <w:sz w:val="23"/>
          <w:szCs w:val="23"/>
          <w:bdr w:val="none" w:sz="0" w:space="0" w:color="auto" w:frame="1"/>
          <w:lang w:eastAsia="it-IT"/>
        </w:rPr>
        <w:t>1.000 euro</w:t>
      </w:r>
      <w:r w:rsidRPr="00584B65">
        <w:rPr>
          <w:rFonts w:ascii="Arial" w:eastAsia="Times New Roman" w:hAnsi="Arial" w:cs="Times New Roman"/>
          <w:color w:val="000000"/>
          <w:sz w:val="23"/>
          <w:szCs w:val="23"/>
          <w:lang w:eastAsia="it-IT"/>
        </w:rPr>
        <w:t> per ciascuna unità immobiliare o esercizio commerciale e, per gli altri soggetti, a </w:t>
      </w:r>
      <w:r w:rsidRPr="00584B65">
        <w:rPr>
          <w:rFonts w:ascii="Arial" w:eastAsia="Times New Roman" w:hAnsi="Arial" w:cs="Times New Roman"/>
          <w:color w:val="000000"/>
          <w:sz w:val="23"/>
          <w:szCs w:val="23"/>
          <w:bdr w:val="none" w:sz="0" w:space="0" w:color="auto" w:frame="1"/>
          <w:lang w:eastAsia="it-IT"/>
        </w:rPr>
        <w:t>5.000 euro</w:t>
      </w:r>
      <w:r w:rsidRPr="00584B65">
        <w:rPr>
          <w:rFonts w:ascii="Arial" w:eastAsia="Times New Roman" w:hAnsi="Arial" w:cs="Times New Roman"/>
          <w:color w:val="000000"/>
          <w:sz w:val="23"/>
          <w:szCs w:val="23"/>
          <w:lang w:eastAsia="it-IT"/>
        </w:rPr>
        <w:t> per ciascun immobile adibito all’attività commerciale o istituzionale.</w:t>
      </w:r>
    </w:p>
    <w:p w14:paraId="31160C0D"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bdr w:val="none" w:sz="0" w:space="0" w:color="auto" w:frame="1"/>
          <w:lang w:eastAsia="it-IT"/>
        </w:rPr>
        <w:t>Credito d'imposta impianti fonti rinnovabili</w:t>
      </w:r>
    </w:p>
    <w:p w14:paraId="35D90EA3"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Al comma 812 viene istituito un credito d'imposta, ai fini dell'IRPEF, per le spese documentate relative all'installazione di sistemi di accumulo integrati in impianti di produzione elettrica alimentati da fonti rinnovabili. Sarà un decreto del Ministro dell'Economia e delle finanze a definire le modalità attuative.</w:t>
      </w:r>
    </w:p>
    <w:p w14:paraId="63135ABB" w14:textId="77777777" w:rsidR="00482A95" w:rsidRPr="00584B65" w:rsidRDefault="00482A9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Le risorse finanziarie stanziate ammontano a 3 milioni di euro per il 2022.</w:t>
      </w:r>
    </w:p>
    <w:p w14:paraId="43908170" w14:textId="77777777" w:rsidR="008C3E21" w:rsidRPr="008C3E21" w:rsidRDefault="008C3E21"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8C3E21">
        <w:rPr>
          <w:rFonts w:ascii="Arial" w:eastAsia="Times New Roman" w:hAnsi="Arial" w:cs="Times New Roman"/>
          <w:b/>
          <w:bCs/>
          <w:color w:val="000000"/>
          <w:sz w:val="27"/>
          <w:szCs w:val="27"/>
          <w:lang w:eastAsia="it-IT"/>
        </w:rPr>
        <w:t>BARRIERE ARCHITETTONICHE</w:t>
      </w:r>
    </w:p>
    <w:p w14:paraId="06A3669D"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Viene istituita (art. 1, comma 42) una </w:t>
      </w:r>
      <w:r w:rsidRPr="00584B65">
        <w:rPr>
          <w:rFonts w:ascii="Arial" w:eastAsia="Times New Roman" w:hAnsi="Arial" w:cs="Times New Roman"/>
          <w:color w:val="000000"/>
          <w:sz w:val="23"/>
          <w:szCs w:val="23"/>
          <w:bdr w:val="none" w:sz="0" w:space="0" w:color="auto" w:frame="1"/>
          <w:lang w:eastAsia="it-IT"/>
        </w:rPr>
        <w:t>nuova detrazione</w:t>
      </w:r>
      <w:r w:rsidRPr="00584B65">
        <w:rPr>
          <w:rFonts w:ascii="Arial" w:eastAsia="Times New Roman" w:hAnsi="Arial" w:cs="Times New Roman"/>
          <w:color w:val="000000"/>
          <w:sz w:val="23"/>
          <w:szCs w:val="23"/>
          <w:lang w:eastAsia="it-IT"/>
        </w:rPr>
        <w:t> al 75%:</w:t>
      </w:r>
    </w:p>
    <w:p w14:paraId="45A43674"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per la realizzazione di interventi direttamente finalizzati al superamento e all'eliminazione di barriere architettoniche in edifici già esistenti;</w:t>
      </w:r>
    </w:p>
    <w:p w14:paraId="47C9DA6E"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per gli interventi di automazione degli impianti degli edifici e delle singole unità immobiliari funzionali ad abbattere le barriere architettoniche. In caso di sostituzione dell’impianto, sono ammesse anche le spese relative allo smaltimento e alla bonifica dei materiali e dell'impianto sostituito.</w:t>
      </w:r>
    </w:p>
    <w:p w14:paraId="25CD8315"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I </w:t>
      </w:r>
      <w:r w:rsidRPr="00584B65">
        <w:rPr>
          <w:rFonts w:ascii="Arial" w:eastAsia="Times New Roman" w:hAnsi="Arial" w:cs="Times New Roman"/>
          <w:color w:val="000000"/>
          <w:sz w:val="23"/>
          <w:szCs w:val="23"/>
          <w:bdr w:val="none" w:sz="0" w:space="0" w:color="auto" w:frame="1"/>
          <w:lang w:eastAsia="it-IT"/>
        </w:rPr>
        <w:t>limiti di spesa</w:t>
      </w:r>
      <w:r w:rsidRPr="00584B65">
        <w:rPr>
          <w:rFonts w:ascii="Arial" w:eastAsia="Times New Roman" w:hAnsi="Arial" w:cs="Times New Roman"/>
          <w:color w:val="000000"/>
          <w:sz w:val="23"/>
          <w:szCs w:val="23"/>
          <w:lang w:eastAsia="it-IT"/>
        </w:rPr>
        <w:t> variano in base al numero delle unità immobiliari all’interno degli edifici: </w:t>
      </w:r>
      <w:r w:rsidRPr="00584B65">
        <w:rPr>
          <w:rFonts w:ascii="Arial" w:eastAsia="Times New Roman" w:hAnsi="Arial" w:cs="Times New Roman"/>
          <w:color w:val="000000"/>
          <w:sz w:val="23"/>
          <w:szCs w:val="23"/>
          <w:bdr w:val="none" w:sz="0" w:space="0" w:color="auto" w:frame="1"/>
          <w:lang w:eastAsia="it-IT"/>
        </w:rPr>
        <w:t>50.000 euro</w:t>
      </w:r>
      <w:r w:rsidRPr="00584B65">
        <w:rPr>
          <w:rFonts w:ascii="Arial" w:eastAsia="Times New Roman" w:hAnsi="Arial" w:cs="Times New Roman"/>
          <w:color w:val="000000"/>
          <w:sz w:val="23"/>
          <w:szCs w:val="23"/>
          <w:lang w:eastAsia="it-IT"/>
        </w:rPr>
        <w:t> per gli edifici unifamiliari o per le unità immobiliari all’interno di edifici plurifamiliari che siano funzionalmente indipendenti o dispongano di uno o più accesso esterno autonomo; </w:t>
      </w:r>
      <w:r w:rsidRPr="00584B65">
        <w:rPr>
          <w:rFonts w:ascii="Arial" w:eastAsia="Times New Roman" w:hAnsi="Arial" w:cs="Times New Roman"/>
          <w:color w:val="000000"/>
          <w:sz w:val="23"/>
          <w:szCs w:val="23"/>
          <w:bdr w:val="none" w:sz="0" w:space="0" w:color="auto" w:frame="1"/>
          <w:lang w:eastAsia="it-IT"/>
        </w:rPr>
        <w:t>40.000 euro</w:t>
      </w:r>
      <w:r w:rsidRPr="00584B65">
        <w:rPr>
          <w:rFonts w:ascii="Arial" w:eastAsia="Times New Roman" w:hAnsi="Arial" w:cs="Times New Roman"/>
          <w:color w:val="000000"/>
          <w:sz w:val="23"/>
          <w:szCs w:val="23"/>
          <w:lang w:eastAsia="it-IT"/>
        </w:rPr>
        <w:t> per unità immobiliare nel caso di edifici composti da 2 a 8 unità immobiliari; </w:t>
      </w:r>
      <w:r w:rsidRPr="00584B65">
        <w:rPr>
          <w:rFonts w:ascii="Arial" w:eastAsia="Times New Roman" w:hAnsi="Arial" w:cs="Times New Roman"/>
          <w:color w:val="000000"/>
          <w:sz w:val="23"/>
          <w:szCs w:val="23"/>
          <w:bdr w:val="none" w:sz="0" w:space="0" w:color="auto" w:frame="1"/>
          <w:lang w:eastAsia="it-IT"/>
        </w:rPr>
        <w:t>30.000 euro</w:t>
      </w:r>
      <w:r w:rsidRPr="00584B65">
        <w:rPr>
          <w:rFonts w:ascii="Arial" w:eastAsia="Times New Roman" w:hAnsi="Arial" w:cs="Times New Roman"/>
          <w:color w:val="000000"/>
          <w:sz w:val="23"/>
          <w:szCs w:val="23"/>
          <w:lang w:eastAsia="it-IT"/>
        </w:rPr>
        <w:t> per unità immobiliare nel caso di edifici composti da più di 8 unità immobiliari.</w:t>
      </w:r>
    </w:p>
    <w:p w14:paraId="582A7D4A" w14:textId="77777777" w:rsidR="00584B65" w:rsidRPr="00584B65" w:rsidRDefault="00584B65" w:rsidP="008C3E21">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La detrazione spetterà per le spese sostenute </w:t>
      </w:r>
      <w:r w:rsidRPr="00584B65">
        <w:rPr>
          <w:rFonts w:ascii="Arial" w:eastAsia="Times New Roman" w:hAnsi="Arial" w:cs="Times New Roman"/>
          <w:color w:val="000000"/>
          <w:sz w:val="23"/>
          <w:szCs w:val="23"/>
          <w:bdr w:val="none" w:sz="0" w:space="0" w:color="auto" w:frame="1"/>
          <w:lang w:eastAsia="it-IT"/>
        </w:rPr>
        <w:t>dal 1° gennaio 2022 al 31 dicembre 2022</w:t>
      </w:r>
      <w:r w:rsidRPr="00584B65">
        <w:rPr>
          <w:rFonts w:ascii="Arial" w:eastAsia="Times New Roman" w:hAnsi="Arial" w:cs="Times New Roman"/>
          <w:color w:val="000000"/>
          <w:sz w:val="23"/>
          <w:szCs w:val="23"/>
          <w:lang w:eastAsia="it-IT"/>
        </w:rPr>
        <w:t> e può essere fruita nella dichiarazione dei redditi in 5 quote annuali oppure è possibile optare per lo sconto in fattura o la cessione del credito.</w:t>
      </w:r>
    </w:p>
    <w:p w14:paraId="711576B7" w14:textId="7670865B"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S</w:t>
      </w:r>
      <w:r w:rsidR="00482A95" w:rsidRPr="00482A95">
        <w:rPr>
          <w:rFonts w:ascii="Arial" w:eastAsia="Times New Roman" w:hAnsi="Arial" w:cs="Times New Roman"/>
          <w:b/>
          <w:bCs/>
          <w:color w:val="000000"/>
          <w:sz w:val="27"/>
          <w:szCs w:val="27"/>
          <w:lang w:eastAsia="it-IT"/>
        </w:rPr>
        <w:t>CONTO IN FATTURA</w:t>
      </w:r>
      <w:r w:rsidRPr="00584B65">
        <w:rPr>
          <w:rFonts w:ascii="Arial" w:eastAsia="Times New Roman" w:hAnsi="Arial" w:cs="Times New Roman"/>
          <w:b/>
          <w:bCs/>
          <w:color w:val="000000"/>
          <w:sz w:val="27"/>
          <w:szCs w:val="27"/>
          <w:lang w:eastAsia="it-IT"/>
        </w:rPr>
        <w:t>/</w:t>
      </w:r>
      <w:r w:rsidR="00482A95" w:rsidRPr="00482A95">
        <w:rPr>
          <w:rFonts w:ascii="Arial" w:eastAsia="Times New Roman" w:hAnsi="Arial" w:cs="Times New Roman"/>
          <w:b/>
          <w:bCs/>
          <w:color w:val="000000"/>
          <w:sz w:val="27"/>
          <w:szCs w:val="27"/>
          <w:lang w:eastAsia="it-IT"/>
        </w:rPr>
        <w:t>CESSIONE DEL CREDITO</w:t>
      </w:r>
    </w:p>
    <w:p w14:paraId="5F784DD4"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Vengono prorogate le </w:t>
      </w:r>
      <w:r w:rsidRPr="00584B65">
        <w:rPr>
          <w:rFonts w:ascii="Arial" w:eastAsia="Times New Roman" w:hAnsi="Arial" w:cs="Times New Roman"/>
          <w:color w:val="000000"/>
          <w:sz w:val="23"/>
          <w:szCs w:val="23"/>
          <w:bdr w:val="none" w:sz="0" w:space="0" w:color="auto" w:frame="1"/>
          <w:lang w:eastAsia="it-IT"/>
        </w:rPr>
        <w:t>opzioni</w:t>
      </w:r>
      <w:r w:rsidRPr="00584B65">
        <w:rPr>
          <w:rFonts w:ascii="Arial" w:eastAsia="Times New Roman" w:hAnsi="Arial" w:cs="Times New Roman"/>
          <w:color w:val="000000"/>
          <w:sz w:val="23"/>
          <w:szCs w:val="23"/>
          <w:lang w:eastAsia="it-IT"/>
        </w:rPr>
        <w:t> per sconto in fattura e cessione del credito (art. 1, comma 29):</w:t>
      </w:r>
    </w:p>
    <w:p w14:paraId="254EA7E4"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per gli anni </w:t>
      </w:r>
      <w:r w:rsidRPr="00584B65">
        <w:rPr>
          <w:rFonts w:ascii="Arial" w:eastAsia="Times New Roman" w:hAnsi="Arial" w:cs="Times New Roman"/>
          <w:color w:val="000000"/>
          <w:sz w:val="23"/>
          <w:szCs w:val="23"/>
          <w:bdr w:val="none" w:sz="0" w:space="0" w:color="auto" w:frame="1"/>
          <w:lang w:eastAsia="it-IT"/>
        </w:rPr>
        <w:t>2022</w:t>
      </w: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2023</w:t>
      </w:r>
      <w:r w:rsidRPr="00584B65">
        <w:rPr>
          <w:rFonts w:ascii="Arial" w:eastAsia="Times New Roman" w:hAnsi="Arial" w:cs="Times New Roman"/>
          <w:color w:val="000000"/>
          <w:sz w:val="23"/>
          <w:szCs w:val="23"/>
          <w:lang w:eastAsia="it-IT"/>
        </w:rPr>
        <w:t> e </w:t>
      </w:r>
      <w:r w:rsidRPr="00584B65">
        <w:rPr>
          <w:rFonts w:ascii="Arial" w:eastAsia="Times New Roman" w:hAnsi="Arial" w:cs="Times New Roman"/>
          <w:color w:val="000000"/>
          <w:sz w:val="23"/>
          <w:szCs w:val="23"/>
          <w:bdr w:val="none" w:sz="0" w:space="0" w:color="auto" w:frame="1"/>
          <w:lang w:eastAsia="it-IT"/>
        </w:rPr>
        <w:t>2024</w:t>
      </w:r>
      <w:r w:rsidRPr="00584B65">
        <w:rPr>
          <w:rFonts w:ascii="Arial" w:eastAsia="Times New Roman" w:hAnsi="Arial" w:cs="Times New Roman"/>
          <w:color w:val="000000"/>
          <w:sz w:val="23"/>
          <w:szCs w:val="23"/>
          <w:lang w:eastAsia="it-IT"/>
        </w:rPr>
        <w:t> per eco e sisma bonus “ordinari”, bonus facciate e detrazione IRPEF 50% per le ristrutturazioni e la nuova detrazione per abbattere le barriere architettoniche;</w:t>
      </w:r>
    </w:p>
    <w:p w14:paraId="558BA28E"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fino al 31 dicembre 2025</w:t>
      </w:r>
      <w:r w:rsidRPr="00584B65">
        <w:rPr>
          <w:rFonts w:ascii="Arial" w:eastAsia="Times New Roman" w:hAnsi="Arial" w:cs="Times New Roman"/>
          <w:color w:val="000000"/>
          <w:sz w:val="23"/>
          <w:szCs w:val="23"/>
          <w:lang w:eastAsia="it-IT"/>
        </w:rPr>
        <w:t> per il superbonus.</w:t>
      </w:r>
    </w:p>
    <w:p w14:paraId="68E7FB6C"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29 - riproducendo, con qualche novità, le disposizioni del </w:t>
      </w:r>
      <w:hyperlink r:id="rId4" w:tgtFrame="_blank" w:tooltip="D.L. n. 157/2021" w:history="1">
        <w:r w:rsidRPr="00584B65">
          <w:rPr>
            <w:rFonts w:ascii="Arial" w:eastAsia="Times New Roman" w:hAnsi="Arial" w:cs="Times New Roman"/>
            <w:color w:val="0000FF"/>
            <w:sz w:val="23"/>
            <w:szCs w:val="23"/>
            <w:u w:val="single"/>
            <w:bdr w:val="none" w:sz="0" w:space="0" w:color="auto" w:frame="1"/>
            <w:lang w:eastAsia="it-IT"/>
          </w:rPr>
          <w:t>D.L. n. 157/2021</w:t>
        </w:r>
      </w:hyperlink>
      <w:r w:rsidRPr="00584B65">
        <w:rPr>
          <w:rFonts w:ascii="Arial" w:eastAsia="Times New Roman" w:hAnsi="Arial" w:cs="Times New Roman"/>
          <w:color w:val="000000"/>
          <w:sz w:val="23"/>
          <w:szCs w:val="23"/>
          <w:lang w:eastAsia="it-IT"/>
        </w:rPr>
        <w:t> (che viene conseguentemente abrogato) - conferma, per tutti i bonus edilizi diversi dal 110%, in caso di opzione per la cessione del credito/sconto in fattura l’obbligo del </w:t>
      </w:r>
      <w:r w:rsidRPr="00584B65">
        <w:rPr>
          <w:rFonts w:ascii="Arial" w:eastAsia="Times New Roman" w:hAnsi="Arial" w:cs="Times New Roman"/>
          <w:color w:val="000000"/>
          <w:sz w:val="23"/>
          <w:szCs w:val="23"/>
          <w:bdr w:val="none" w:sz="0" w:space="0" w:color="auto" w:frame="1"/>
          <w:lang w:eastAsia="it-IT"/>
        </w:rPr>
        <w:t>visto di conformità</w:t>
      </w:r>
      <w:r w:rsidRPr="00584B65">
        <w:rPr>
          <w:rFonts w:ascii="Arial" w:eastAsia="Times New Roman" w:hAnsi="Arial" w:cs="Times New Roman"/>
          <w:color w:val="000000"/>
          <w:sz w:val="23"/>
          <w:szCs w:val="23"/>
          <w:lang w:eastAsia="it-IT"/>
        </w:rPr>
        <w:t> e di </w:t>
      </w:r>
      <w:r w:rsidRPr="00584B65">
        <w:rPr>
          <w:rFonts w:ascii="Arial" w:eastAsia="Times New Roman" w:hAnsi="Arial" w:cs="Times New Roman"/>
          <w:color w:val="000000"/>
          <w:sz w:val="23"/>
          <w:szCs w:val="23"/>
          <w:bdr w:val="none" w:sz="0" w:space="0" w:color="auto" w:frame="1"/>
          <w:lang w:eastAsia="it-IT"/>
        </w:rPr>
        <w:t>asseverazione della congruità</w:t>
      </w:r>
      <w:r w:rsidRPr="00584B65">
        <w:rPr>
          <w:rFonts w:ascii="Arial" w:eastAsia="Times New Roman" w:hAnsi="Arial" w:cs="Times New Roman"/>
          <w:color w:val="000000"/>
          <w:sz w:val="23"/>
          <w:szCs w:val="23"/>
          <w:lang w:eastAsia="it-IT"/>
        </w:rPr>
        <w:t> di prezzi, da operarsi a cura dei tecnici abilitati.</w:t>
      </w:r>
    </w:p>
    <w:p w14:paraId="26A55645"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Sono </w:t>
      </w:r>
      <w:r w:rsidRPr="00584B65">
        <w:rPr>
          <w:rFonts w:ascii="Arial" w:eastAsia="Times New Roman" w:hAnsi="Arial" w:cs="Times New Roman"/>
          <w:color w:val="000000"/>
          <w:sz w:val="23"/>
          <w:szCs w:val="23"/>
          <w:bdr w:val="none" w:sz="0" w:space="0" w:color="auto" w:frame="1"/>
          <w:lang w:eastAsia="it-IT"/>
        </w:rPr>
        <w:t>esclusi</w:t>
      </w:r>
      <w:r w:rsidRPr="00584B65">
        <w:rPr>
          <w:rFonts w:ascii="Arial" w:eastAsia="Times New Roman" w:hAnsi="Arial" w:cs="Times New Roman"/>
          <w:color w:val="000000"/>
          <w:sz w:val="23"/>
          <w:szCs w:val="23"/>
          <w:lang w:eastAsia="it-IT"/>
        </w:rPr>
        <w:t> dall’obbligo di visto di conformità e asseverazione di congruità delle spese gli interventi in </w:t>
      </w:r>
      <w:r w:rsidRPr="00584B65">
        <w:rPr>
          <w:rFonts w:ascii="Arial" w:eastAsia="Times New Roman" w:hAnsi="Arial" w:cs="Times New Roman"/>
          <w:color w:val="000000"/>
          <w:sz w:val="23"/>
          <w:szCs w:val="23"/>
          <w:bdr w:val="none" w:sz="0" w:space="0" w:color="auto" w:frame="1"/>
          <w:lang w:eastAsia="it-IT"/>
        </w:rPr>
        <w:t>edilizia libera</w:t>
      </w:r>
      <w:r w:rsidRPr="00584B65">
        <w:rPr>
          <w:rFonts w:ascii="Arial" w:eastAsia="Times New Roman" w:hAnsi="Arial" w:cs="Times New Roman"/>
          <w:color w:val="000000"/>
          <w:sz w:val="23"/>
          <w:szCs w:val="23"/>
          <w:lang w:eastAsia="it-IT"/>
        </w:rPr>
        <w:t> e per gli interventi di </w:t>
      </w:r>
      <w:r w:rsidRPr="00584B65">
        <w:rPr>
          <w:rFonts w:ascii="Arial" w:eastAsia="Times New Roman" w:hAnsi="Arial" w:cs="Times New Roman"/>
          <w:color w:val="000000"/>
          <w:sz w:val="23"/>
          <w:szCs w:val="23"/>
          <w:bdr w:val="none" w:sz="0" w:space="0" w:color="auto" w:frame="1"/>
          <w:lang w:eastAsia="it-IT"/>
        </w:rPr>
        <w:t>importo complessivo non superiore a 10.000 euro</w:t>
      </w:r>
      <w:r w:rsidRPr="00584B65">
        <w:rPr>
          <w:rFonts w:ascii="Arial" w:eastAsia="Times New Roman" w:hAnsi="Arial" w:cs="Times New Roman"/>
          <w:color w:val="000000"/>
          <w:sz w:val="23"/>
          <w:szCs w:val="23"/>
          <w:lang w:eastAsia="it-IT"/>
        </w:rPr>
        <w:t>, eseguiti sulle singole unità immobiliari o sulle parti comuni dell’edificio, fatta eccezione per il bonus facciate.</w:t>
      </w:r>
    </w:p>
    <w:p w14:paraId="2FEB6E75"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Viene precisato che spese sostenute per il </w:t>
      </w:r>
      <w:r w:rsidRPr="00584B65">
        <w:rPr>
          <w:rFonts w:ascii="Arial" w:eastAsia="Times New Roman" w:hAnsi="Arial" w:cs="Times New Roman"/>
          <w:color w:val="000000"/>
          <w:sz w:val="23"/>
          <w:szCs w:val="23"/>
          <w:bdr w:val="none" w:sz="0" w:space="0" w:color="auto" w:frame="1"/>
          <w:lang w:eastAsia="it-IT"/>
        </w:rPr>
        <w:t>rilascio del visto</w:t>
      </w:r>
      <w:r w:rsidRPr="00584B65">
        <w:rPr>
          <w:rFonts w:ascii="Arial" w:eastAsia="Times New Roman" w:hAnsi="Arial" w:cs="Times New Roman"/>
          <w:color w:val="000000"/>
          <w:sz w:val="23"/>
          <w:szCs w:val="23"/>
          <w:lang w:eastAsia="it-IT"/>
        </w:rPr>
        <w:t> di conformità e dell'attestazione di congruità rientrano tra le </w:t>
      </w:r>
      <w:r w:rsidRPr="00584B65">
        <w:rPr>
          <w:rFonts w:ascii="Arial" w:eastAsia="Times New Roman" w:hAnsi="Arial" w:cs="Times New Roman"/>
          <w:color w:val="000000"/>
          <w:sz w:val="23"/>
          <w:szCs w:val="23"/>
          <w:bdr w:val="none" w:sz="0" w:space="0" w:color="auto" w:frame="1"/>
          <w:lang w:eastAsia="it-IT"/>
        </w:rPr>
        <w:t>spese agevolabili</w:t>
      </w:r>
      <w:r w:rsidRPr="00584B65">
        <w:rPr>
          <w:rFonts w:ascii="Arial" w:eastAsia="Times New Roman" w:hAnsi="Arial" w:cs="Times New Roman"/>
          <w:color w:val="000000"/>
          <w:sz w:val="23"/>
          <w:szCs w:val="23"/>
          <w:lang w:eastAsia="it-IT"/>
        </w:rPr>
        <w:t>.</w:t>
      </w:r>
    </w:p>
    <w:p w14:paraId="78016DAF"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Per il 110%, invece, il visto di conformità viene richiesto anche nel caso in cui il superbonus sia utilizzato dal beneficiario in detrazione nella dichiarazione dei redditi. Il visto non sarà necessario se la dichiarazione è presentata direttamente dal contribuente, attraverso l’utilizzo della dichiarazione precompilata predisposta dall’Agenzia delle entrate, ovvero tramite il sostituto d’imposta che presta l’assistenza fiscale.</w:t>
      </w:r>
    </w:p>
    <w:p w14:paraId="626705D5" w14:textId="77777777" w:rsidR="00584B65" w:rsidRPr="00584B65" w:rsidRDefault="00584B65" w:rsidP="00482A95">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30 riconosce all’Agenzia delle Entrate la possibilità di sospendere, per un periodo non superiore a 30 giorni, l’efficacia delle comunicazioni telematiche necessarie per l’esercizio dell’opzione della cessione del credito e dello sconto in fattura, nei casi in cui vengano riscontrati particolari profili di rischio, mentre i commi da 31 a 36 chiariscono i poteri dell'Agenzia delle entrate nell'ambito dei controlli su superbonus, sconto in fattura, cessione del credito e sulle agevolazioni e i contributi a fondo perduto da essa erogati, introdotti a seguito dell’emergenza epidemiologica da Covid-19.</w:t>
      </w:r>
    </w:p>
    <w:p w14:paraId="51C3E382" w14:textId="3C67F764"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B</w:t>
      </w:r>
      <w:r w:rsidR="008C78DE" w:rsidRPr="008C78DE">
        <w:rPr>
          <w:rFonts w:ascii="Arial" w:eastAsia="Times New Roman" w:hAnsi="Arial" w:cs="Times New Roman"/>
          <w:b/>
          <w:bCs/>
          <w:color w:val="000000"/>
          <w:sz w:val="27"/>
          <w:szCs w:val="27"/>
          <w:lang w:eastAsia="it-IT"/>
        </w:rPr>
        <w:t>ONUS INVESTIMENTI</w:t>
      </w:r>
      <w:r w:rsidRPr="00584B65">
        <w:rPr>
          <w:rFonts w:ascii="Arial" w:eastAsia="Times New Roman" w:hAnsi="Arial" w:cs="Times New Roman"/>
          <w:b/>
          <w:bCs/>
          <w:color w:val="000000"/>
          <w:sz w:val="27"/>
          <w:szCs w:val="27"/>
          <w:lang w:eastAsia="it-IT"/>
        </w:rPr>
        <w:t xml:space="preserve"> 4.0</w:t>
      </w:r>
    </w:p>
    <w:p w14:paraId="62FBD282"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Viene prorogato e rimodulato il credito d’imposta per gli investimenti in beni strumentali nuovi 4.0 (art. 1, comma 44). In particolare:</w:t>
      </w:r>
    </w:p>
    <w:p w14:paraId="71C7AEB9"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A) per gli investimenti in beni materiali strumentali 4.0 (indicati nell’Allegato A alla legge n. 232/2016) effettuati dalle imprese a decorrere </w:t>
      </w:r>
      <w:r w:rsidRPr="00584B65">
        <w:rPr>
          <w:rFonts w:ascii="Arial" w:eastAsia="Times New Roman" w:hAnsi="Arial" w:cs="Times New Roman"/>
          <w:color w:val="000000"/>
          <w:sz w:val="23"/>
          <w:szCs w:val="23"/>
          <w:bdr w:val="none" w:sz="0" w:space="0" w:color="auto" w:frame="1"/>
          <w:lang w:eastAsia="it-IT"/>
        </w:rPr>
        <w:t>dal 1° gennaio 2023 e fino al 31 dicembre 2025</w:t>
      </w:r>
      <w:r w:rsidRPr="00584B65">
        <w:rPr>
          <w:rFonts w:ascii="Arial" w:eastAsia="Times New Roman" w:hAnsi="Arial" w:cs="Times New Roman"/>
          <w:color w:val="000000"/>
          <w:sz w:val="23"/>
          <w:szCs w:val="23"/>
          <w:lang w:eastAsia="it-IT"/>
        </w:rPr>
        <w:t>, ovvero </w:t>
      </w:r>
      <w:r w:rsidRPr="00584B65">
        <w:rPr>
          <w:rFonts w:ascii="Arial" w:eastAsia="Times New Roman" w:hAnsi="Arial" w:cs="Times New Roman"/>
          <w:color w:val="000000"/>
          <w:sz w:val="23"/>
          <w:szCs w:val="23"/>
          <w:bdr w:val="none" w:sz="0" w:space="0" w:color="auto" w:frame="1"/>
          <w:lang w:eastAsia="it-IT"/>
        </w:rPr>
        <w:t>entro il 30 giugno 2026</w:t>
      </w:r>
      <w:r w:rsidRPr="00584B65">
        <w:rPr>
          <w:rFonts w:ascii="Arial" w:eastAsia="Times New Roman" w:hAnsi="Arial" w:cs="Times New Roman"/>
          <w:color w:val="000000"/>
          <w:sz w:val="23"/>
          <w:szCs w:val="23"/>
          <w:lang w:eastAsia="it-IT"/>
        </w:rPr>
        <w:t> a condizione che entro la data del 31 dicembre 2025 il relativo ordine risulti accettato dal venditore e sia avvenuto il pagamento di acconti in misura almeno pari al 20% del costo di acquisizione, il credito d’imposta è riconosciuto nella misura del:</w:t>
      </w:r>
    </w:p>
    <w:p w14:paraId="1486E5D2"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- 20% del costo, per la quota di investimenti fino a 2,5 milioni di euro;</w:t>
      </w:r>
    </w:p>
    <w:p w14:paraId="162B7173"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- 10% del costo, per la quota di investimenti superiori a 2,5 milioni di euro e fino a 10 milioni di euro;</w:t>
      </w:r>
    </w:p>
    <w:p w14:paraId="1BABF92F"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- 5% del costo, per la quota di investimenti superiori a 10 milioni di euro e fino al limite massimo di costi complessivamente ammissibili pari a 20 milioni di euro;</w:t>
      </w:r>
    </w:p>
    <w:p w14:paraId="2F834097"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B) per gli investimenti in beni immateriali strumentali 4.0 (indicati nell’Allegato B alla Legge 232/2016), vengono previste le seguenti aliquote:</w:t>
      </w:r>
    </w:p>
    <w:p w14:paraId="5951A364"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fino al 31 dicembre 2023</w:t>
      </w:r>
      <w:r w:rsidRPr="00584B65">
        <w:rPr>
          <w:rFonts w:ascii="Arial" w:eastAsia="Times New Roman" w:hAnsi="Arial" w:cs="Times New Roman"/>
          <w:color w:val="000000"/>
          <w:sz w:val="23"/>
          <w:szCs w:val="23"/>
          <w:lang w:eastAsia="it-IT"/>
        </w:rPr>
        <w:t> (ovvero </w:t>
      </w:r>
      <w:r w:rsidRPr="00584B65">
        <w:rPr>
          <w:rFonts w:ascii="Arial" w:eastAsia="Times New Roman" w:hAnsi="Arial" w:cs="Times New Roman"/>
          <w:color w:val="000000"/>
          <w:sz w:val="23"/>
          <w:szCs w:val="23"/>
          <w:bdr w:val="none" w:sz="0" w:space="0" w:color="auto" w:frame="1"/>
          <w:lang w:eastAsia="it-IT"/>
        </w:rPr>
        <w:t>entro il 30 giugno 2024</w:t>
      </w:r>
      <w:r w:rsidRPr="00584B65">
        <w:rPr>
          <w:rFonts w:ascii="Arial" w:eastAsia="Times New Roman" w:hAnsi="Arial" w:cs="Times New Roman"/>
          <w:color w:val="000000"/>
          <w:sz w:val="23"/>
          <w:szCs w:val="23"/>
          <w:lang w:eastAsia="it-IT"/>
        </w:rPr>
        <w:t> a condizione che entro il 31 dicembre 2023 il relativo ordine risulti accettato dal venditore e sia avvenuto il pagamento di acconti in misura almeno pari al 20% del costo di acquisizione), il credito d’imposta è riconosciuto nella misura del 20% del costo, nel limite massimo annuale di costi ammissibili pari a 1 milione di euro;</w:t>
      </w:r>
    </w:p>
    <w:p w14:paraId="2BF6188F"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w:t>
      </w:r>
      <w:r w:rsidRPr="00584B65">
        <w:rPr>
          <w:rFonts w:ascii="Arial" w:eastAsia="Times New Roman" w:hAnsi="Arial" w:cs="Times New Roman"/>
          <w:color w:val="000000"/>
          <w:sz w:val="23"/>
          <w:szCs w:val="23"/>
          <w:bdr w:val="none" w:sz="0" w:space="0" w:color="auto" w:frame="1"/>
          <w:lang w:eastAsia="it-IT"/>
        </w:rPr>
        <w:t>dal 1° gennaio 2024 e fino al 31 dicembre 2024</w:t>
      </w:r>
      <w:r w:rsidRPr="00584B65">
        <w:rPr>
          <w:rFonts w:ascii="Arial" w:eastAsia="Times New Roman" w:hAnsi="Arial" w:cs="Times New Roman"/>
          <w:color w:val="000000"/>
          <w:sz w:val="23"/>
          <w:szCs w:val="23"/>
          <w:lang w:eastAsia="it-IT"/>
        </w:rPr>
        <w:t> (ovvero entro il termine del </w:t>
      </w:r>
      <w:r w:rsidRPr="00584B65">
        <w:rPr>
          <w:rFonts w:ascii="Arial" w:eastAsia="Times New Roman" w:hAnsi="Arial" w:cs="Times New Roman"/>
          <w:color w:val="000000"/>
          <w:sz w:val="23"/>
          <w:szCs w:val="23"/>
          <w:bdr w:val="none" w:sz="0" w:space="0" w:color="auto" w:frame="1"/>
          <w:lang w:eastAsia="it-IT"/>
        </w:rPr>
        <w:t>30 giugno 2025</w:t>
      </w:r>
      <w:r w:rsidRPr="00584B65">
        <w:rPr>
          <w:rFonts w:ascii="Arial" w:eastAsia="Times New Roman" w:hAnsi="Arial" w:cs="Times New Roman"/>
          <w:color w:val="000000"/>
          <w:sz w:val="23"/>
          <w:szCs w:val="23"/>
          <w:lang w:eastAsia="it-IT"/>
        </w:rPr>
        <w:t> a condizione che entro il 31 dicembre 2024 il relativo ordine risulti accettato dal venditore e sia avvenuto il pagamento di acconti in misura almeno pari al 20% del costo di acquisizione), il credito d’imposta è riconosciuto nella misura del 15% del costo, nel limite massimo di costi ammissibili pari a 1 milione di euro;</w:t>
      </w:r>
    </w:p>
    <w:p w14:paraId="1B18E8A3"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per gli investimenti effettuati </w:t>
      </w:r>
      <w:r w:rsidRPr="00584B65">
        <w:rPr>
          <w:rFonts w:ascii="Arial" w:eastAsia="Times New Roman" w:hAnsi="Arial" w:cs="Times New Roman"/>
          <w:color w:val="000000"/>
          <w:sz w:val="23"/>
          <w:szCs w:val="23"/>
          <w:bdr w:val="none" w:sz="0" w:space="0" w:color="auto" w:frame="1"/>
          <w:lang w:eastAsia="it-IT"/>
        </w:rPr>
        <w:t>dal 1° gennaio 2025 e fino al 31 dicembre 2025</w:t>
      </w:r>
      <w:r w:rsidRPr="00584B65">
        <w:rPr>
          <w:rFonts w:ascii="Arial" w:eastAsia="Times New Roman" w:hAnsi="Arial" w:cs="Times New Roman"/>
          <w:color w:val="000000"/>
          <w:sz w:val="23"/>
          <w:szCs w:val="23"/>
          <w:lang w:eastAsia="it-IT"/>
        </w:rPr>
        <w:t> (ovvero entro il termine del </w:t>
      </w:r>
      <w:r w:rsidRPr="00584B65">
        <w:rPr>
          <w:rFonts w:ascii="Arial" w:eastAsia="Times New Roman" w:hAnsi="Arial" w:cs="Times New Roman"/>
          <w:color w:val="000000"/>
          <w:sz w:val="23"/>
          <w:szCs w:val="23"/>
          <w:bdr w:val="none" w:sz="0" w:space="0" w:color="auto" w:frame="1"/>
          <w:lang w:eastAsia="it-IT"/>
        </w:rPr>
        <w:t>30 giugno 2026</w:t>
      </w:r>
      <w:r w:rsidRPr="00584B65">
        <w:rPr>
          <w:rFonts w:ascii="Arial" w:eastAsia="Times New Roman" w:hAnsi="Arial" w:cs="Times New Roman"/>
          <w:color w:val="000000"/>
          <w:sz w:val="23"/>
          <w:szCs w:val="23"/>
          <w:lang w:eastAsia="it-IT"/>
        </w:rPr>
        <w:t> a condizione che entro il 31 dicembre 2025 il relativo ordine risulti accettato dal venditore e sia avvenuto il pagamento di acconti in misura almeno pari al 20% del costo di acquisizione), il credito d’imposta è riconosciuto nella misura del 10%, nel limite massimo di costi ammissibili pari a 1 milione di euro.</w:t>
      </w:r>
    </w:p>
    <w:p w14:paraId="25A18205" w14:textId="317DBC6F"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C</w:t>
      </w:r>
      <w:r w:rsidR="008C78DE" w:rsidRPr="008C78DE">
        <w:rPr>
          <w:rFonts w:ascii="Arial" w:eastAsia="Times New Roman" w:hAnsi="Arial" w:cs="Times New Roman"/>
          <w:b/>
          <w:bCs/>
          <w:color w:val="000000"/>
          <w:sz w:val="27"/>
          <w:szCs w:val="27"/>
          <w:lang w:eastAsia="it-IT"/>
        </w:rPr>
        <w:t xml:space="preserve">REDITO D’IMPOSTA PER </w:t>
      </w:r>
      <w:proofErr w:type="spellStart"/>
      <w:r w:rsidRPr="00584B65">
        <w:rPr>
          <w:rFonts w:ascii="Arial" w:eastAsia="Times New Roman" w:hAnsi="Arial" w:cs="Times New Roman"/>
          <w:b/>
          <w:bCs/>
          <w:color w:val="000000"/>
          <w:sz w:val="27"/>
          <w:szCs w:val="27"/>
          <w:lang w:eastAsia="it-IT"/>
        </w:rPr>
        <w:t>R</w:t>
      </w:r>
      <w:r w:rsidR="008C78DE" w:rsidRPr="008C78DE">
        <w:rPr>
          <w:rFonts w:ascii="Arial" w:eastAsia="Times New Roman" w:hAnsi="Arial" w:cs="Times New Roman"/>
          <w:b/>
          <w:bCs/>
          <w:color w:val="000000"/>
          <w:sz w:val="27"/>
          <w:szCs w:val="27"/>
          <w:lang w:eastAsia="it-IT"/>
        </w:rPr>
        <w:t>icerca</w:t>
      </w:r>
      <w:r w:rsidRPr="00584B65">
        <w:rPr>
          <w:rFonts w:ascii="Arial" w:eastAsia="Times New Roman" w:hAnsi="Arial" w:cs="Times New Roman"/>
          <w:b/>
          <w:bCs/>
          <w:color w:val="000000"/>
          <w:sz w:val="27"/>
          <w:szCs w:val="27"/>
          <w:lang w:eastAsia="it-IT"/>
        </w:rPr>
        <w:t>&amp;S</w:t>
      </w:r>
      <w:r w:rsidR="008C78DE" w:rsidRPr="008C78DE">
        <w:rPr>
          <w:rFonts w:ascii="Arial" w:eastAsia="Times New Roman" w:hAnsi="Arial" w:cs="Times New Roman"/>
          <w:b/>
          <w:bCs/>
          <w:color w:val="000000"/>
          <w:sz w:val="27"/>
          <w:szCs w:val="27"/>
          <w:lang w:eastAsia="it-IT"/>
        </w:rPr>
        <w:t>viluppo</w:t>
      </w:r>
      <w:proofErr w:type="spellEnd"/>
      <w:r w:rsidRPr="00584B65">
        <w:rPr>
          <w:rFonts w:ascii="Arial" w:eastAsia="Times New Roman" w:hAnsi="Arial" w:cs="Times New Roman"/>
          <w:b/>
          <w:bCs/>
          <w:color w:val="000000"/>
          <w:sz w:val="27"/>
          <w:szCs w:val="27"/>
          <w:lang w:eastAsia="it-IT"/>
        </w:rPr>
        <w:t>, innovazione e design</w:t>
      </w:r>
    </w:p>
    <w:p w14:paraId="4005B443"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Prorogata e modificata anche la disciplina del credito d'imposta per gli investimenti in ricerca e sviluppo, in transizione ecologica, in innovazione tecnologica 4.0 e in altre attività innovative (art. 1, comma 45).</w:t>
      </w:r>
    </w:p>
    <w:p w14:paraId="1CC37398"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il credito di imposta per la ricerca fondamentale, ricerca industriale e sviluppo sperimentale viene esteso </w:t>
      </w:r>
      <w:r w:rsidRPr="00584B65">
        <w:rPr>
          <w:rFonts w:ascii="Arial" w:eastAsia="Times New Roman" w:hAnsi="Arial" w:cs="Times New Roman"/>
          <w:color w:val="000000"/>
          <w:sz w:val="23"/>
          <w:szCs w:val="23"/>
          <w:bdr w:val="none" w:sz="0" w:space="0" w:color="auto" w:frame="1"/>
          <w:lang w:eastAsia="it-IT"/>
        </w:rPr>
        <w:t>fino alla fine del 2031</w:t>
      </w:r>
      <w:r w:rsidRPr="00584B65">
        <w:rPr>
          <w:rFonts w:ascii="Arial" w:eastAsia="Times New Roman" w:hAnsi="Arial" w:cs="Times New Roman"/>
          <w:color w:val="000000"/>
          <w:sz w:val="23"/>
          <w:szCs w:val="23"/>
          <w:lang w:eastAsia="it-IT"/>
        </w:rPr>
        <w:t>, ma </w:t>
      </w:r>
      <w:r w:rsidRPr="00584B65">
        <w:rPr>
          <w:rFonts w:ascii="Arial" w:eastAsia="Times New Roman" w:hAnsi="Arial" w:cs="Times New Roman"/>
          <w:color w:val="000000"/>
          <w:sz w:val="23"/>
          <w:szCs w:val="23"/>
          <w:bdr w:val="none" w:sz="0" w:space="0" w:color="auto" w:frame="1"/>
          <w:lang w:eastAsia="it-IT"/>
        </w:rPr>
        <w:t>dal 2023</w:t>
      </w:r>
      <w:r w:rsidRPr="00584B65">
        <w:rPr>
          <w:rFonts w:ascii="Arial" w:eastAsia="Times New Roman" w:hAnsi="Arial" w:cs="Times New Roman"/>
          <w:color w:val="000000"/>
          <w:sz w:val="23"/>
          <w:szCs w:val="23"/>
          <w:lang w:eastAsia="it-IT"/>
        </w:rPr>
        <w:t> sarà riconosciuto nella </w:t>
      </w:r>
      <w:r w:rsidRPr="00584B65">
        <w:rPr>
          <w:rFonts w:ascii="Arial" w:eastAsia="Times New Roman" w:hAnsi="Arial" w:cs="Times New Roman"/>
          <w:color w:val="000000"/>
          <w:sz w:val="23"/>
          <w:szCs w:val="23"/>
          <w:bdr w:val="none" w:sz="0" w:space="0" w:color="auto" w:frame="1"/>
          <w:lang w:eastAsia="it-IT"/>
        </w:rPr>
        <w:t>misura del 10%</w:t>
      </w:r>
      <w:r w:rsidRPr="00584B65">
        <w:rPr>
          <w:rFonts w:ascii="Arial" w:eastAsia="Times New Roman" w:hAnsi="Arial" w:cs="Times New Roman"/>
          <w:color w:val="000000"/>
          <w:sz w:val="23"/>
          <w:szCs w:val="23"/>
          <w:lang w:eastAsia="it-IT"/>
        </w:rPr>
        <w:t>, con massimale a 5 milioni di euro;</w:t>
      </w:r>
    </w:p>
    <w:p w14:paraId="113658ED"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 il credito di imposta per le attività di innovazione tecnologica e il credito d’imposta per design e ideazione estetica, sarà riconosciuto nella </w:t>
      </w:r>
      <w:r w:rsidRPr="00584B65">
        <w:rPr>
          <w:rFonts w:ascii="Arial" w:eastAsia="Times New Roman" w:hAnsi="Arial" w:cs="Times New Roman"/>
          <w:color w:val="000000"/>
          <w:sz w:val="23"/>
          <w:szCs w:val="23"/>
          <w:bdr w:val="none" w:sz="0" w:space="0" w:color="auto" w:frame="1"/>
          <w:lang w:eastAsia="it-IT"/>
        </w:rPr>
        <w:t>misura del 10%</w:t>
      </w:r>
      <w:r w:rsidRPr="00584B65">
        <w:rPr>
          <w:rFonts w:ascii="Arial" w:eastAsia="Times New Roman" w:hAnsi="Arial" w:cs="Times New Roman"/>
          <w:color w:val="000000"/>
          <w:sz w:val="23"/>
          <w:szCs w:val="23"/>
          <w:lang w:eastAsia="it-IT"/>
        </w:rPr>
        <w:t> (nel limite massimo di 2 milioni) </w:t>
      </w:r>
      <w:r w:rsidRPr="00584B65">
        <w:rPr>
          <w:rFonts w:ascii="Arial" w:eastAsia="Times New Roman" w:hAnsi="Arial" w:cs="Times New Roman"/>
          <w:color w:val="000000"/>
          <w:sz w:val="23"/>
          <w:szCs w:val="23"/>
          <w:bdr w:val="none" w:sz="0" w:space="0" w:color="auto" w:frame="1"/>
          <w:lang w:eastAsia="it-IT"/>
        </w:rPr>
        <w:t>fino al 2023</w:t>
      </w:r>
      <w:r w:rsidRPr="00584B65">
        <w:rPr>
          <w:rFonts w:ascii="Arial" w:eastAsia="Times New Roman" w:hAnsi="Arial" w:cs="Times New Roman"/>
          <w:color w:val="000000"/>
          <w:sz w:val="23"/>
          <w:szCs w:val="23"/>
          <w:lang w:eastAsia="it-IT"/>
        </w:rPr>
        <w:t>, mentre nel </w:t>
      </w:r>
      <w:r w:rsidRPr="00584B65">
        <w:rPr>
          <w:rFonts w:ascii="Arial" w:eastAsia="Times New Roman" w:hAnsi="Arial" w:cs="Times New Roman"/>
          <w:color w:val="000000"/>
          <w:sz w:val="23"/>
          <w:szCs w:val="23"/>
          <w:bdr w:val="none" w:sz="0" w:space="0" w:color="auto" w:frame="1"/>
          <w:lang w:eastAsia="it-IT"/>
        </w:rPr>
        <w:t>2024</w:t>
      </w:r>
      <w:r w:rsidRPr="00584B65">
        <w:rPr>
          <w:rFonts w:ascii="Arial" w:eastAsia="Times New Roman" w:hAnsi="Arial" w:cs="Times New Roman"/>
          <w:color w:val="000000"/>
          <w:sz w:val="23"/>
          <w:szCs w:val="23"/>
          <w:lang w:eastAsia="it-IT"/>
        </w:rPr>
        <w:t> e </w:t>
      </w:r>
      <w:r w:rsidRPr="00584B65">
        <w:rPr>
          <w:rFonts w:ascii="Arial" w:eastAsia="Times New Roman" w:hAnsi="Arial" w:cs="Times New Roman"/>
          <w:color w:val="000000"/>
          <w:sz w:val="23"/>
          <w:szCs w:val="23"/>
          <w:bdr w:val="none" w:sz="0" w:space="0" w:color="auto" w:frame="1"/>
          <w:lang w:eastAsia="it-IT"/>
        </w:rPr>
        <w:t>2025</w:t>
      </w:r>
      <w:r w:rsidRPr="00584B65">
        <w:rPr>
          <w:rFonts w:ascii="Arial" w:eastAsia="Times New Roman" w:hAnsi="Arial" w:cs="Times New Roman"/>
          <w:color w:val="000000"/>
          <w:sz w:val="23"/>
          <w:szCs w:val="23"/>
          <w:lang w:eastAsia="it-IT"/>
        </w:rPr>
        <w:t> scenderà al </w:t>
      </w:r>
      <w:r w:rsidRPr="00584B65">
        <w:rPr>
          <w:rFonts w:ascii="Arial" w:eastAsia="Times New Roman" w:hAnsi="Arial" w:cs="Times New Roman"/>
          <w:color w:val="000000"/>
          <w:sz w:val="23"/>
          <w:szCs w:val="23"/>
          <w:bdr w:val="none" w:sz="0" w:space="0" w:color="auto" w:frame="1"/>
          <w:lang w:eastAsia="it-IT"/>
        </w:rPr>
        <w:t>5%</w:t>
      </w:r>
      <w:r w:rsidRPr="00584B65">
        <w:rPr>
          <w:rFonts w:ascii="Arial" w:eastAsia="Times New Roman" w:hAnsi="Arial" w:cs="Times New Roman"/>
          <w:color w:val="000000"/>
          <w:sz w:val="23"/>
          <w:szCs w:val="23"/>
          <w:lang w:eastAsia="it-IT"/>
        </w:rPr>
        <w:t> (sempre nel limite massimo di 2 milioni);</w:t>
      </w:r>
    </w:p>
    <w:p w14:paraId="6CFE333E"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il credito d’imposta per innovazione digitale 4.0 e transizione ecologica, sarà pari al </w:t>
      </w:r>
      <w:r w:rsidRPr="00584B65">
        <w:rPr>
          <w:rFonts w:ascii="Arial" w:eastAsia="Times New Roman" w:hAnsi="Arial" w:cs="Times New Roman"/>
          <w:color w:val="000000"/>
          <w:sz w:val="23"/>
          <w:szCs w:val="23"/>
          <w:bdr w:val="none" w:sz="0" w:space="0" w:color="auto" w:frame="1"/>
          <w:lang w:eastAsia="it-IT"/>
        </w:rPr>
        <w:t>15% fino al 2022</w:t>
      </w:r>
      <w:r w:rsidRPr="00584B65">
        <w:rPr>
          <w:rFonts w:ascii="Arial" w:eastAsia="Times New Roman" w:hAnsi="Arial" w:cs="Times New Roman"/>
          <w:color w:val="000000"/>
          <w:sz w:val="23"/>
          <w:szCs w:val="23"/>
          <w:lang w:eastAsia="it-IT"/>
        </w:rPr>
        <w:t> (con un limite massimo di 2 milioni), </w:t>
      </w:r>
      <w:r w:rsidRPr="00584B65">
        <w:rPr>
          <w:rFonts w:ascii="Arial" w:eastAsia="Times New Roman" w:hAnsi="Arial" w:cs="Times New Roman"/>
          <w:color w:val="000000"/>
          <w:sz w:val="23"/>
          <w:szCs w:val="23"/>
          <w:bdr w:val="none" w:sz="0" w:space="0" w:color="auto" w:frame="1"/>
          <w:lang w:eastAsia="it-IT"/>
        </w:rPr>
        <w:t>10%</w:t>
      </w:r>
      <w:r w:rsidRPr="00584B65">
        <w:rPr>
          <w:rFonts w:ascii="Arial" w:eastAsia="Times New Roman" w:hAnsi="Arial" w:cs="Times New Roman"/>
          <w:color w:val="000000"/>
          <w:sz w:val="23"/>
          <w:szCs w:val="23"/>
          <w:lang w:eastAsia="it-IT"/>
        </w:rPr>
        <w:t> (con un limite massimo di 4 milioni) nel </w:t>
      </w:r>
      <w:r w:rsidRPr="00584B65">
        <w:rPr>
          <w:rFonts w:ascii="Arial" w:eastAsia="Times New Roman" w:hAnsi="Arial" w:cs="Times New Roman"/>
          <w:color w:val="000000"/>
          <w:sz w:val="23"/>
          <w:szCs w:val="23"/>
          <w:bdr w:val="none" w:sz="0" w:space="0" w:color="auto" w:frame="1"/>
          <w:lang w:eastAsia="it-IT"/>
        </w:rPr>
        <w:t>2023</w:t>
      </w:r>
      <w:r w:rsidRPr="00584B65">
        <w:rPr>
          <w:rFonts w:ascii="Arial" w:eastAsia="Times New Roman" w:hAnsi="Arial" w:cs="Times New Roman"/>
          <w:color w:val="000000"/>
          <w:sz w:val="23"/>
          <w:szCs w:val="23"/>
          <w:lang w:eastAsia="it-IT"/>
        </w:rPr>
        <w:t> e al </w:t>
      </w:r>
      <w:r w:rsidRPr="00584B65">
        <w:rPr>
          <w:rFonts w:ascii="Arial" w:eastAsia="Times New Roman" w:hAnsi="Arial" w:cs="Times New Roman"/>
          <w:color w:val="000000"/>
          <w:sz w:val="23"/>
          <w:szCs w:val="23"/>
          <w:bdr w:val="none" w:sz="0" w:space="0" w:color="auto" w:frame="1"/>
          <w:lang w:eastAsia="it-IT"/>
        </w:rPr>
        <w:t>5%</w:t>
      </w:r>
      <w:r w:rsidRPr="00584B65">
        <w:rPr>
          <w:rFonts w:ascii="Arial" w:eastAsia="Times New Roman" w:hAnsi="Arial" w:cs="Times New Roman"/>
          <w:color w:val="000000"/>
          <w:sz w:val="23"/>
          <w:szCs w:val="23"/>
          <w:lang w:eastAsia="it-IT"/>
        </w:rPr>
        <w:t> (con un limite massimo annuale di 4 milioni) nel </w:t>
      </w:r>
      <w:r w:rsidRPr="00584B65">
        <w:rPr>
          <w:rFonts w:ascii="Arial" w:eastAsia="Times New Roman" w:hAnsi="Arial" w:cs="Times New Roman"/>
          <w:color w:val="000000"/>
          <w:sz w:val="23"/>
          <w:szCs w:val="23"/>
          <w:bdr w:val="none" w:sz="0" w:space="0" w:color="auto" w:frame="1"/>
          <w:lang w:eastAsia="it-IT"/>
        </w:rPr>
        <w:t>2024</w:t>
      </w:r>
      <w:r w:rsidRPr="00584B65">
        <w:rPr>
          <w:rFonts w:ascii="Arial" w:eastAsia="Times New Roman" w:hAnsi="Arial" w:cs="Times New Roman"/>
          <w:color w:val="000000"/>
          <w:sz w:val="23"/>
          <w:szCs w:val="23"/>
          <w:lang w:eastAsia="it-IT"/>
        </w:rPr>
        <w:t> e </w:t>
      </w:r>
      <w:r w:rsidRPr="00584B65">
        <w:rPr>
          <w:rFonts w:ascii="Arial" w:eastAsia="Times New Roman" w:hAnsi="Arial" w:cs="Times New Roman"/>
          <w:color w:val="000000"/>
          <w:sz w:val="23"/>
          <w:szCs w:val="23"/>
          <w:bdr w:val="none" w:sz="0" w:space="0" w:color="auto" w:frame="1"/>
          <w:lang w:eastAsia="it-IT"/>
        </w:rPr>
        <w:t>2025</w:t>
      </w:r>
      <w:r w:rsidRPr="00584B65">
        <w:rPr>
          <w:rFonts w:ascii="Arial" w:eastAsia="Times New Roman" w:hAnsi="Arial" w:cs="Times New Roman"/>
          <w:color w:val="000000"/>
          <w:sz w:val="23"/>
          <w:szCs w:val="23"/>
          <w:lang w:eastAsia="it-IT"/>
        </w:rPr>
        <w:t>.</w:t>
      </w:r>
    </w:p>
    <w:p w14:paraId="17EFCD8E" w14:textId="34FCB46A"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N</w:t>
      </w:r>
      <w:r w:rsidR="008C78DE" w:rsidRPr="008C78DE">
        <w:rPr>
          <w:rFonts w:ascii="Arial" w:eastAsia="Times New Roman" w:hAnsi="Arial" w:cs="Times New Roman"/>
          <w:b/>
          <w:bCs/>
          <w:color w:val="000000"/>
          <w:sz w:val="27"/>
          <w:szCs w:val="27"/>
          <w:lang w:eastAsia="it-IT"/>
        </w:rPr>
        <w:t xml:space="preserve">UOVA </w:t>
      </w:r>
      <w:r w:rsidRPr="00584B65">
        <w:rPr>
          <w:rFonts w:ascii="Arial" w:eastAsia="Times New Roman" w:hAnsi="Arial" w:cs="Times New Roman"/>
          <w:b/>
          <w:bCs/>
          <w:color w:val="000000"/>
          <w:sz w:val="27"/>
          <w:szCs w:val="27"/>
          <w:lang w:eastAsia="it-IT"/>
        </w:rPr>
        <w:t>S</w:t>
      </w:r>
      <w:r w:rsidR="008C78DE" w:rsidRPr="008C78DE">
        <w:rPr>
          <w:rFonts w:ascii="Arial" w:eastAsia="Times New Roman" w:hAnsi="Arial" w:cs="Times New Roman"/>
          <w:b/>
          <w:bCs/>
          <w:color w:val="000000"/>
          <w:sz w:val="27"/>
          <w:szCs w:val="27"/>
          <w:lang w:eastAsia="it-IT"/>
        </w:rPr>
        <w:t>ABATINI</w:t>
      </w:r>
    </w:p>
    <w:p w14:paraId="65AD7C9A" w14:textId="77777777" w:rsidR="00584B65" w:rsidRPr="00584B65" w:rsidRDefault="00584B65" w:rsidP="00584B65">
      <w:pPr>
        <w:shd w:val="clear" w:color="auto" w:fill="FFFFFF"/>
        <w:spacing w:line="315" w:lineRule="atLeast"/>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Viene rifinanziata con 900 milioni di euro la Nuova Sabatini e reintrodotta l’erogazione in più quote per i finanziamenti di importo non superiore a 200.000 euro (art. 1, commi 47 e 48).</w:t>
      </w:r>
    </w:p>
    <w:p w14:paraId="04A1F470" w14:textId="77777777" w:rsidR="008C78DE" w:rsidRPr="008C78DE"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S</w:t>
      </w:r>
      <w:r w:rsidR="008C78DE" w:rsidRPr="008C78DE">
        <w:rPr>
          <w:rFonts w:ascii="Arial" w:eastAsia="Times New Roman" w:hAnsi="Arial" w:cs="Times New Roman"/>
          <w:b/>
          <w:bCs/>
          <w:color w:val="000000"/>
          <w:sz w:val="27"/>
          <w:szCs w:val="27"/>
          <w:lang w:eastAsia="it-IT"/>
        </w:rPr>
        <w:t>OSTEGNO ALL’INTERNAZIONALIZZAZIONE</w:t>
      </w:r>
    </w:p>
    <w:p w14:paraId="3668B707"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49 </w:t>
      </w:r>
      <w:r w:rsidRPr="00584B65">
        <w:rPr>
          <w:rFonts w:ascii="Arial" w:eastAsia="Times New Roman" w:hAnsi="Arial" w:cs="Times New Roman"/>
          <w:color w:val="000000"/>
          <w:sz w:val="23"/>
          <w:szCs w:val="23"/>
          <w:bdr w:val="none" w:sz="0" w:space="0" w:color="auto" w:frame="1"/>
          <w:lang w:eastAsia="it-IT"/>
        </w:rPr>
        <w:t>incrementa</w:t>
      </w:r>
      <w:r w:rsidRPr="00584B65">
        <w:rPr>
          <w:rFonts w:ascii="Arial" w:eastAsia="Times New Roman" w:hAnsi="Arial" w:cs="Times New Roman"/>
          <w:color w:val="000000"/>
          <w:sz w:val="23"/>
          <w:szCs w:val="23"/>
          <w:lang w:eastAsia="it-IT"/>
        </w:rPr>
        <w:t>:</w:t>
      </w:r>
    </w:p>
    <w:p w14:paraId="6A4267D3"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di 1,5 miliardi per ciascuno degli anni dal 2022 al 2026, la dotazione del </w:t>
      </w:r>
      <w:r w:rsidRPr="00584B65">
        <w:rPr>
          <w:rFonts w:ascii="Arial" w:eastAsia="Times New Roman" w:hAnsi="Arial" w:cs="Times New Roman"/>
          <w:color w:val="000000"/>
          <w:sz w:val="23"/>
          <w:szCs w:val="23"/>
          <w:bdr w:val="none" w:sz="0" w:space="0" w:color="auto" w:frame="1"/>
          <w:lang w:eastAsia="it-IT"/>
        </w:rPr>
        <w:t>Fondo rotativo</w:t>
      </w:r>
      <w:r w:rsidRPr="00584B65">
        <w:rPr>
          <w:rFonts w:ascii="Arial" w:eastAsia="Times New Roman" w:hAnsi="Arial" w:cs="Times New Roman"/>
          <w:color w:val="000000"/>
          <w:sz w:val="23"/>
          <w:szCs w:val="23"/>
          <w:lang w:eastAsia="it-IT"/>
        </w:rPr>
        <w:t> a favore delle imprese italiane che operano sui mercati esteri </w:t>
      </w:r>
      <w:r w:rsidRPr="00584B65">
        <w:rPr>
          <w:rFonts w:ascii="Arial" w:eastAsia="Times New Roman" w:hAnsi="Arial" w:cs="Times New Roman"/>
          <w:i/>
          <w:iCs/>
          <w:color w:val="000000"/>
          <w:sz w:val="23"/>
          <w:szCs w:val="23"/>
          <w:bdr w:val="none" w:sz="0" w:space="0" w:color="auto" w:frame="1"/>
          <w:lang w:eastAsia="it-IT"/>
        </w:rPr>
        <w:t>ex</w:t>
      </w:r>
      <w:r w:rsidRPr="00584B65">
        <w:rPr>
          <w:rFonts w:ascii="Arial" w:eastAsia="Times New Roman" w:hAnsi="Arial" w:cs="Times New Roman"/>
          <w:color w:val="000000"/>
          <w:sz w:val="23"/>
          <w:szCs w:val="23"/>
          <w:lang w:eastAsia="it-IT"/>
        </w:rPr>
        <w:t> 394/1981;</w:t>
      </w:r>
    </w:p>
    <w:p w14:paraId="1095F328"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di 150 milioni per ciascuno degli anni dal 2022 al 2026, la dotazione del Fondo per la promozione integrata (</w:t>
      </w:r>
      <w:r w:rsidRPr="00584B65">
        <w:rPr>
          <w:rFonts w:ascii="Arial" w:eastAsia="Times New Roman" w:hAnsi="Arial" w:cs="Times New Roman"/>
          <w:i/>
          <w:iCs/>
          <w:color w:val="000000"/>
          <w:sz w:val="23"/>
          <w:szCs w:val="23"/>
          <w:bdr w:val="none" w:sz="0" w:space="0" w:color="auto" w:frame="1"/>
          <w:lang w:eastAsia="it-IT"/>
        </w:rPr>
        <w:t>ex</w:t>
      </w:r>
      <w:r w:rsidRPr="00584B65">
        <w:rPr>
          <w:rFonts w:ascii="Arial" w:eastAsia="Times New Roman" w:hAnsi="Arial" w:cs="Times New Roman"/>
          <w:color w:val="000000"/>
          <w:sz w:val="23"/>
          <w:szCs w:val="23"/>
          <w:lang w:eastAsia="it-IT"/>
        </w:rPr>
        <w:t> art. 72, comma 1, del D.L. 18/2020).</w:t>
      </w:r>
    </w:p>
    <w:p w14:paraId="3CF6A3F4" w14:textId="19F0080A"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F</w:t>
      </w:r>
      <w:r w:rsidR="008C78DE" w:rsidRPr="008C78DE">
        <w:rPr>
          <w:rFonts w:ascii="Arial" w:eastAsia="Times New Roman" w:hAnsi="Arial" w:cs="Times New Roman"/>
          <w:b/>
          <w:bCs/>
          <w:color w:val="000000"/>
          <w:sz w:val="27"/>
          <w:szCs w:val="27"/>
          <w:lang w:eastAsia="it-IT"/>
        </w:rPr>
        <w:t xml:space="preserve">ONDO GARANZIA </w:t>
      </w:r>
      <w:r w:rsidRPr="00584B65">
        <w:rPr>
          <w:rFonts w:ascii="Arial" w:eastAsia="Times New Roman" w:hAnsi="Arial" w:cs="Times New Roman"/>
          <w:b/>
          <w:bCs/>
          <w:color w:val="000000"/>
          <w:sz w:val="27"/>
          <w:szCs w:val="27"/>
          <w:lang w:eastAsia="it-IT"/>
        </w:rPr>
        <w:t>PMI</w:t>
      </w:r>
    </w:p>
    <w:p w14:paraId="5CFC9770"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 commi da 53 a 58 intervengono sulla disciplina del Fondo di garanzia.</w:t>
      </w:r>
    </w:p>
    <w:p w14:paraId="614A8EAF"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Innanzitutto, viene prevista la </w:t>
      </w:r>
      <w:r w:rsidRPr="00584B65">
        <w:rPr>
          <w:rFonts w:ascii="Arial" w:eastAsia="Times New Roman" w:hAnsi="Arial" w:cs="Times New Roman"/>
          <w:color w:val="000000"/>
          <w:sz w:val="23"/>
          <w:szCs w:val="23"/>
          <w:bdr w:val="none" w:sz="0" w:space="0" w:color="auto" w:frame="1"/>
          <w:lang w:eastAsia="it-IT"/>
        </w:rPr>
        <w:t>proroga fino al 30 giugno 2022</w:t>
      </w:r>
      <w:r w:rsidRPr="00584B65">
        <w:rPr>
          <w:rFonts w:ascii="Arial" w:eastAsia="Times New Roman" w:hAnsi="Arial" w:cs="Times New Roman"/>
          <w:color w:val="000000"/>
          <w:sz w:val="23"/>
          <w:szCs w:val="23"/>
          <w:lang w:eastAsia="it-IT"/>
        </w:rPr>
        <w:t> della disciplina straordinaria del Fondo Garanzia PMI, di cui all’art. 13, comma 1, del decreto Liquidità (D.L. n. 23/2020), prevedendo, al contempo, che a partire dal 1° aprile 2022, le garanzie saranno concesse previo pagamento di una commissione da versare al Fondo.</w:t>
      </w:r>
    </w:p>
    <w:p w14:paraId="27B37FD5"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Viene inoltre disposto che, </w:t>
      </w:r>
      <w:r w:rsidRPr="00584B65">
        <w:rPr>
          <w:rFonts w:ascii="Arial" w:eastAsia="Times New Roman" w:hAnsi="Arial" w:cs="Times New Roman"/>
          <w:color w:val="000000"/>
          <w:sz w:val="23"/>
          <w:szCs w:val="23"/>
          <w:bdr w:val="none" w:sz="0" w:space="0" w:color="auto" w:frame="1"/>
          <w:lang w:eastAsia="it-IT"/>
        </w:rPr>
        <w:t>dal 1° gennaio 2022</w:t>
      </w:r>
      <w:r w:rsidRPr="00584B65">
        <w:rPr>
          <w:rFonts w:ascii="Arial" w:eastAsia="Times New Roman" w:hAnsi="Arial" w:cs="Times New Roman"/>
          <w:color w:val="000000"/>
          <w:sz w:val="23"/>
          <w:szCs w:val="23"/>
          <w:lang w:eastAsia="it-IT"/>
        </w:rPr>
        <w:t>, la copertura del Fondo sui finanziamenti fino a 30 mila euro passa dal 90 all’80%.</w:t>
      </w:r>
    </w:p>
    <w:p w14:paraId="2C3BE5AC"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54 specifica che per le richieste di ammissione alla garanzia presentate a far data dal 1° luglio 2022 non trova più applicazione la disciplina straordinaria di intervento del Fondo.</w:t>
      </w:r>
    </w:p>
    <w:p w14:paraId="10E6C26A"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Ai sensi del comma 55, a decorrere dal 1° luglio 2022 e </w:t>
      </w:r>
      <w:r w:rsidRPr="00584B65">
        <w:rPr>
          <w:rFonts w:ascii="Arial" w:eastAsia="Times New Roman" w:hAnsi="Arial" w:cs="Times New Roman"/>
          <w:color w:val="000000"/>
          <w:sz w:val="23"/>
          <w:szCs w:val="23"/>
          <w:bdr w:val="none" w:sz="0" w:space="0" w:color="auto" w:frame="1"/>
          <w:lang w:eastAsia="it-IT"/>
        </w:rPr>
        <w:t>fino al 31 dicembre 2022</w:t>
      </w:r>
      <w:r w:rsidRPr="00584B65">
        <w:rPr>
          <w:rFonts w:ascii="Arial" w:eastAsia="Times New Roman" w:hAnsi="Arial" w:cs="Times New Roman"/>
          <w:color w:val="000000"/>
          <w:sz w:val="23"/>
          <w:szCs w:val="23"/>
          <w:lang w:eastAsia="it-IT"/>
        </w:rPr>
        <w:t>, l’importo massimo garantito per singola impresa dal Fondo sarà pari a </w:t>
      </w:r>
      <w:r w:rsidRPr="00584B65">
        <w:rPr>
          <w:rFonts w:ascii="Arial" w:eastAsia="Times New Roman" w:hAnsi="Arial" w:cs="Times New Roman"/>
          <w:color w:val="000000"/>
          <w:sz w:val="23"/>
          <w:szCs w:val="23"/>
          <w:bdr w:val="none" w:sz="0" w:space="0" w:color="auto" w:frame="1"/>
          <w:lang w:eastAsia="it-IT"/>
        </w:rPr>
        <w:t>5 milioni di euro</w:t>
      </w:r>
      <w:r w:rsidRPr="00584B65">
        <w:rPr>
          <w:rFonts w:ascii="Arial" w:eastAsia="Times New Roman" w:hAnsi="Arial" w:cs="Times New Roman"/>
          <w:color w:val="000000"/>
          <w:sz w:val="23"/>
          <w:szCs w:val="23"/>
          <w:lang w:eastAsia="it-IT"/>
        </w:rPr>
        <w:t> e la garanzia sarà concessa mediante applicazione del modello di valutazione, fatta salva l’ammissibilità alla garanzia del Fondo dei soggetti rientranti nella fascia 5 del medesimo modello di valutazione.</w:t>
      </w:r>
    </w:p>
    <w:p w14:paraId="7FBD288E"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xml:space="preserve">Le operazioni finanziarie concesse, per esigenze diverse dal sostegno alla realizzazione di investimenti, in favore dei soggetti beneficiari rientranti nelle fasce 1 e 2 del </w:t>
      </w:r>
      <w:proofErr w:type="gramStart"/>
      <w:r w:rsidRPr="00584B65">
        <w:rPr>
          <w:rFonts w:ascii="Arial" w:eastAsia="Times New Roman" w:hAnsi="Arial" w:cs="Times New Roman"/>
          <w:color w:val="000000"/>
          <w:sz w:val="23"/>
          <w:szCs w:val="23"/>
          <w:lang w:eastAsia="it-IT"/>
        </w:rPr>
        <w:t>predetto</w:t>
      </w:r>
      <w:proofErr w:type="gramEnd"/>
      <w:r w:rsidRPr="00584B65">
        <w:rPr>
          <w:rFonts w:ascii="Arial" w:eastAsia="Times New Roman" w:hAnsi="Arial" w:cs="Times New Roman"/>
          <w:color w:val="000000"/>
          <w:sz w:val="23"/>
          <w:szCs w:val="23"/>
          <w:lang w:eastAsia="it-IT"/>
        </w:rPr>
        <w:t xml:space="preserve"> modello di valutazione saranno garantite dal Fondo nella misura massima del 60% dell’importo della medesima operazione finanziaria. In relazione alla riassicurazione, la misura massima del 60% </w:t>
      </w:r>
      <w:r w:rsidRPr="00584B65">
        <w:rPr>
          <w:rFonts w:ascii="Arial" w:eastAsia="Times New Roman" w:hAnsi="Arial" w:cs="Times New Roman"/>
          <w:color w:val="000000"/>
          <w:sz w:val="23"/>
          <w:szCs w:val="23"/>
          <w:lang w:eastAsia="it-IT"/>
        </w:rPr>
        <w:lastRenderedPageBreak/>
        <w:t>è riferita alla misura della copertura del Fondo di garanzia rispetto all’importo dell’operazione finanziaria sottostante. Resteranno ferme le maggiori coperture previste, in relazione a particolari tipologie di soggetti beneficiari, dal decreto ministeriale 6 marzo 2017.</w:t>
      </w:r>
    </w:p>
    <w:p w14:paraId="16C9DDCD" w14:textId="063217FE"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G</w:t>
      </w:r>
      <w:r w:rsidR="008C78DE" w:rsidRPr="008C78DE">
        <w:rPr>
          <w:rFonts w:ascii="Arial" w:eastAsia="Times New Roman" w:hAnsi="Arial" w:cs="Times New Roman"/>
          <w:b/>
          <w:bCs/>
          <w:color w:val="000000"/>
          <w:sz w:val="27"/>
          <w:szCs w:val="27"/>
          <w:lang w:eastAsia="it-IT"/>
        </w:rPr>
        <w:t>ARANZIA</w:t>
      </w:r>
      <w:r w:rsidRPr="00584B65">
        <w:rPr>
          <w:rFonts w:ascii="Arial" w:eastAsia="Times New Roman" w:hAnsi="Arial" w:cs="Times New Roman"/>
          <w:b/>
          <w:bCs/>
          <w:color w:val="000000"/>
          <w:sz w:val="27"/>
          <w:szCs w:val="27"/>
          <w:lang w:eastAsia="it-IT"/>
        </w:rPr>
        <w:t xml:space="preserve"> SACE</w:t>
      </w:r>
    </w:p>
    <w:p w14:paraId="594ED205"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Il comma 59, intervenendo sull'art. 1 del D.L. n. 23/2020, </w:t>
      </w:r>
      <w:r w:rsidRPr="00584B65">
        <w:rPr>
          <w:rFonts w:ascii="Arial" w:eastAsia="Times New Roman" w:hAnsi="Arial" w:cs="Times New Roman"/>
          <w:color w:val="000000"/>
          <w:sz w:val="23"/>
          <w:szCs w:val="23"/>
          <w:bdr w:val="none" w:sz="0" w:space="0" w:color="auto" w:frame="1"/>
          <w:lang w:eastAsia="it-IT"/>
        </w:rPr>
        <w:t>proroga al 30 giugno 2022</w:t>
      </w:r>
      <w:r w:rsidRPr="00584B65">
        <w:rPr>
          <w:rFonts w:ascii="Arial" w:eastAsia="Times New Roman" w:hAnsi="Arial" w:cs="Times New Roman"/>
          <w:color w:val="000000"/>
          <w:sz w:val="23"/>
          <w:szCs w:val="23"/>
          <w:lang w:eastAsia="it-IT"/>
        </w:rPr>
        <w:t> l'operatività della Garanzia Italia.</w:t>
      </w:r>
    </w:p>
    <w:p w14:paraId="3FDBEDC5" w14:textId="77777777" w:rsidR="00584B65" w:rsidRPr="00584B65" w:rsidRDefault="00584B65" w:rsidP="008C78DE">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xml:space="preserve">Viene confermata fino al 30 giugno 2022 la garanzia SACE per le </w:t>
      </w:r>
      <w:proofErr w:type="spellStart"/>
      <w:r w:rsidRPr="00584B65">
        <w:rPr>
          <w:rFonts w:ascii="Arial" w:eastAsia="Times New Roman" w:hAnsi="Arial" w:cs="Times New Roman"/>
          <w:color w:val="000000"/>
          <w:sz w:val="23"/>
          <w:szCs w:val="23"/>
          <w:lang w:eastAsia="it-IT"/>
        </w:rPr>
        <w:t>mid-cap</w:t>
      </w:r>
      <w:proofErr w:type="spellEnd"/>
      <w:r w:rsidRPr="00584B65">
        <w:rPr>
          <w:rFonts w:ascii="Arial" w:eastAsia="Times New Roman" w:hAnsi="Arial" w:cs="Times New Roman"/>
          <w:color w:val="000000"/>
          <w:sz w:val="23"/>
          <w:szCs w:val="23"/>
          <w:lang w:eastAsia="it-IT"/>
        </w:rPr>
        <w:t xml:space="preserve"> (imprese con un numero di dipendenti non superiore a 499, determinato sulla base delle unità di lavoro anno e non riconducibili alla definizione delle microimprese, piccole e medie imprese), </w:t>
      </w:r>
      <w:r w:rsidRPr="00584B65">
        <w:rPr>
          <w:rFonts w:ascii="Arial" w:eastAsia="Times New Roman" w:hAnsi="Arial" w:cs="Times New Roman"/>
          <w:i/>
          <w:iCs/>
          <w:color w:val="000000"/>
          <w:sz w:val="23"/>
          <w:szCs w:val="23"/>
          <w:bdr w:val="none" w:sz="0" w:space="0" w:color="auto" w:frame="1"/>
          <w:lang w:eastAsia="it-IT"/>
        </w:rPr>
        <w:t>ex</w:t>
      </w:r>
      <w:r w:rsidRPr="00584B65">
        <w:rPr>
          <w:rFonts w:ascii="Arial" w:eastAsia="Times New Roman" w:hAnsi="Arial" w:cs="Times New Roman"/>
          <w:color w:val="000000"/>
          <w:sz w:val="23"/>
          <w:szCs w:val="23"/>
          <w:lang w:eastAsia="it-IT"/>
        </w:rPr>
        <w:t> art. 1-</w:t>
      </w:r>
      <w:r w:rsidRPr="00584B65">
        <w:rPr>
          <w:rFonts w:ascii="Arial" w:eastAsia="Times New Roman" w:hAnsi="Arial" w:cs="Times New Roman"/>
          <w:i/>
          <w:iCs/>
          <w:color w:val="000000"/>
          <w:sz w:val="23"/>
          <w:szCs w:val="23"/>
          <w:bdr w:val="none" w:sz="0" w:space="0" w:color="auto" w:frame="1"/>
          <w:lang w:eastAsia="it-IT"/>
        </w:rPr>
        <w:t>bis</w:t>
      </w:r>
      <w:r w:rsidRPr="00584B65">
        <w:rPr>
          <w:rFonts w:ascii="Arial" w:eastAsia="Times New Roman" w:hAnsi="Arial" w:cs="Times New Roman"/>
          <w:color w:val="000000"/>
          <w:sz w:val="23"/>
          <w:szCs w:val="23"/>
          <w:lang w:eastAsia="it-IT"/>
        </w:rPr>
        <w:t>.1 del D.L. n.23/2020.</w:t>
      </w:r>
    </w:p>
    <w:p w14:paraId="093A5FE9" w14:textId="3846BC67"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C</w:t>
      </w:r>
      <w:r w:rsidR="008F59F0" w:rsidRPr="008F59F0">
        <w:rPr>
          <w:rFonts w:ascii="Arial" w:eastAsia="Times New Roman" w:hAnsi="Arial" w:cs="Times New Roman"/>
          <w:b/>
          <w:bCs/>
          <w:color w:val="000000"/>
          <w:sz w:val="27"/>
          <w:szCs w:val="27"/>
          <w:lang w:eastAsia="it-IT"/>
        </w:rPr>
        <w:t>REDITO D’IMPOSTA CARTA</w:t>
      </w:r>
    </w:p>
    <w:p w14:paraId="1F7E1881"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Ai commi 378 e 379 viene confermato anche per il 2022 il credito di imposta del 30% a favore delle imprese editrici di quotidiani e di periodici per le spese sostenute per l'acquisto della carta utilizzata per la stampa.</w:t>
      </w:r>
    </w:p>
    <w:p w14:paraId="437EE2CE" w14:textId="742A43A2" w:rsidR="00584B65" w:rsidRPr="00584B65" w:rsidRDefault="008F59F0"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8F59F0">
        <w:rPr>
          <w:rFonts w:ascii="Arial" w:eastAsia="Times New Roman" w:hAnsi="Arial" w:cs="Times New Roman"/>
          <w:b/>
          <w:bCs/>
          <w:color w:val="000000"/>
          <w:sz w:val="27"/>
          <w:szCs w:val="27"/>
          <w:lang w:eastAsia="it-IT"/>
        </w:rPr>
        <w:t>BONUS</w:t>
      </w:r>
      <w:r w:rsidR="00584B65" w:rsidRPr="00584B65">
        <w:rPr>
          <w:rFonts w:ascii="Arial" w:eastAsia="Times New Roman" w:hAnsi="Arial" w:cs="Times New Roman"/>
          <w:b/>
          <w:bCs/>
          <w:color w:val="000000"/>
          <w:sz w:val="27"/>
          <w:szCs w:val="27"/>
          <w:lang w:eastAsia="it-IT"/>
        </w:rPr>
        <w:t xml:space="preserve"> TV e </w:t>
      </w:r>
      <w:r w:rsidRPr="008F59F0">
        <w:rPr>
          <w:rFonts w:ascii="Arial" w:eastAsia="Times New Roman" w:hAnsi="Arial" w:cs="Times New Roman"/>
          <w:b/>
          <w:bCs/>
          <w:color w:val="000000"/>
          <w:sz w:val="27"/>
          <w:szCs w:val="27"/>
          <w:lang w:eastAsia="it-IT"/>
        </w:rPr>
        <w:t>DECODER</w:t>
      </w:r>
    </w:p>
    <w:p w14:paraId="75CFDFC9"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Viene rifinanziato con 68 milioni di euro per l’anno 2022 il bonus tv e decoder, che prevede l’erogazione di contributi per acquistare un nuovo decoder (senza rottamazione) oppure un apparecchio televisivo, a condizione di rottamare un apparecchio televisivo acquistato prima del 22 dicembre 2018.</w:t>
      </w:r>
    </w:p>
    <w:p w14:paraId="42C911E3"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I soggetti di </w:t>
      </w:r>
      <w:r w:rsidRPr="00584B65">
        <w:rPr>
          <w:rFonts w:ascii="Arial" w:eastAsia="Times New Roman" w:hAnsi="Arial" w:cs="Times New Roman"/>
          <w:color w:val="000000"/>
          <w:sz w:val="23"/>
          <w:szCs w:val="23"/>
          <w:bdr w:val="none" w:sz="0" w:space="0" w:color="auto" w:frame="1"/>
          <w:lang w:eastAsia="it-IT"/>
        </w:rPr>
        <w:t>età superiore a 70 anni</w:t>
      </w:r>
      <w:r w:rsidRPr="00584B65">
        <w:rPr>
          <w:rFonts w:ascii="Arial" w:eastAsia="Times New Roman" w:hAnsi="Arial" w:cs="Times New Roman"/>
          <w:color w:val="000000"/>
          <w:sz w:val="23"/>
          <w:szCs w:val="23"/>
          <w:lang w:eastAsia="it-IT"/>
        </w:rPr>
        <w:t> e che usufruiscono di un trattamento pensionistico non superiore a 20.000 euro annui potranno ricevere, previa richiesta a Poste, il decoder (che deve avere un costo non superiore a 30 euro) direttamente a casa. In caso di attivazione della misura, gli utenti potranno chiedere a Poste assistenza telefonica sull’installazione (art. 1, commi da 480 a 485).</w:t>
      </w:r>
    </w:p>
    <w:p w14:paraId="3C70D5D4" w14:textId="77777777" w:rsidR="008F59F0" w:rsidRPr="008F59F0"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F</w:t>
      </w:r>
      <w:r w:rsidR="008F59F0" w:rsidRPr="008F59F0">
        <w:rPr>
          <w:rFonts w:ascii="Arial" w:eastAsia="Times New Roman" w:hAnsi="Arial" w:cs="Times New Roman"/>
          <w:b/>
          <w:bCs/>
          <w:color w:val="000000"/>
          <w:sz w:val="27"/>
          <w:szCs w:val="27"/>
          <w:lang w:eastAsia="it-IT"/>
        </w:rPr>
        <w:t>ONDO PER L’EFFICIENZA ENERGETICA</w:t>
      </w:r>
    </w:p>
    <w:p w14:paraId="01983457" w14:textId="77777777" w:rsidR="00584B65" w:rsidRPr="00584B65" w:rsidRDefault="00584B65" w:rsidP="00584B65">
      <w:pPr>
        <w:shd w:val="clear" w:color="auto" w:fill="FFFFFF"/>
        <w:spacing w:line="315" w:lineRule="atLeast"/>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xml:space="preserve">Il comma 514 - intervenendo sull’art. 15, comma 2, </w:t>
      </w:r>
      <w:proofErr w:type="spellStart"/>
      <w:r w:rsidRPr="00584B65">
        <w:rPr>
          <w:rFonts w:ascii="Arial" w:eastAsia="Times New Roman" w:hAnsi="Arial" w:cs="Times New Roman"/>
          <w:color w:val="000000"/>
          <w:sz w:val="23"/>
          <w:szCs w:val="23"/>
          <w:lang w:eastAsia="it-IT"/>
        </w:rPr>
        <w:t>D.Lgs.</w:t>
      </w:r>
      <w:proofErr w:type="spellEnd"/>
      <w:r w:rsidRPr="00584B65">
        <w:rPr>
          <w:rFonts w:ascii="Arial" w:eastAsia="Times New Roman" w:hAnsi="Arial" w:cs="Times New Roman"/>
          <w:color w:val="000000"/>
          <w:sz w:val="23"/>
          <w:szCs w:val="23"/>
          <w:lang w:eastAsia="it-IT"/>
        </w:rPr>
        <w:t xml:space="preserve"> n. 102/2014 - cambia la natura del Fondo nazionale per l'efficienza energetica da rotativa a mista e stabilisce che lo stesso possa provvedere anche all’erogazione di </w:t>
      </w:r>
      <w:r w:rsidRPr="00584B65">
        <w:rPr>
          <w:rFonts w:ascii="Arial" w:eastAsia="Times New Roman" w:hAnsi="Arial" w:cs="Times New Roman"/>
          <w:color w:val="000000"/>
          <w:sz w:val="23"/>
          <w:szCs w:val="23"/>
          <w:bdr w:val="none" w:sz="0" w:space="0" w:color="auto" w:frame="1"/>
          <w:lang w:eastAsia="it-IT"/>
        </w:rPr>
        <w:t>finanziamenti</w:t>
      </w:r>
      <w:r w:rsidRPr="00584B65">
        <w:rPr>
          <w:rFonts w:ascii="Arial" w:eastAsia="Times New Roman" w:hAnsi="Arial" w:cs="Times New Roman"/>
          <w:color w:val="000000"/>
          <w:sz w:val="23"/>
          <w:szCs w:val="23"/>
          <w:lang w:eastAsia="it-IT"/>
        </w:rPr>
        <w:t> di cui una </w:t>
      </w:r>
      <w:r w:rsidRPr="00584B65">
        <w:rPr>
          <w:rFonts w:ascii="Arial" w:eastAsia="Times New Roman" w:hAnsi="Arial" w:cs="Times New Roman"/>
          <w:color w:val="000000"/>
          <w:sz w:val="23"/>
          <w:szCs w:val="23"/>
          <w:bdr w:val="none" w:sz="0" w:space="0" w:color="auto" w:frame="1"/>
          <w:lang w:eastAsia="it-IT"/>
        </w:rPr>
        <w:t>quota parte </w:t>
      </w:r>
      <w:r w:rsidRPr="00584B65">
        <w:rPr>
          <w:rFonts w:ascii="Arial" w:eastAsia="Times New Roman" w:hAnsi="Arial" w:cs="Times New Roman"/>
          <w:color w:val="000000"/>
          <w:sz w:val="23"/>
          <w:szCs w:val="23"/>
          <w:lang w:eastAsia="it-IT"/>
        </w:rPr>
        <w:t>sia </w:t>
      </w:r>
      <w:r w:rsidRPr="00584B65">
        <w:rPr>
          <w:rFonts w:ascii="Arial" w:eastAsia="Times New Roman" w:hAnsi="Arial" w:cs="Times New Roman"/>
          <w:color w:val="000000"/>
          <w:sz w:val="23"/>
          <w:szCs w:val="23"/>
          <w:bdr w:val="none" w:sz="0" w:space="0" w:color="auto" w:frame="1"/>
          <w:lang w:eastAsia="it-IT"/>
        </w:rPr>
        <w:t>a fondo perduto</w:t>
      </w:r>
      <w:r w:rsidRPr="00584B65">
        <w:rPr>
          <w:rFonts w:ascii="Arial" w:eastAsia="Times New Roman" w:hAnsi="Arial" w:cs="Times New Roman"/>
          <w:color w:val="000000"/>
          <w:sz w:val="23"/>
          <w:szCs w:val="23"/>
          <w:lang w:eastAsia="it-IT"/>
        </w:rPr>
        <w:t>, nel limite complessivo di 8 milioni di euro annui a decorrere dal 2022.</w:t>
      </w:r>
    </w:p>
    <w:p w14:paraId="471C8C67" w14:textId="77777777" w:rsidR="00584B65" w:rsidRPr="00584B65" w:rsidRDefault="00584B65" w:rsidP="00584B65">
      <w:pPr>
        <w:shd w:val="clear" w:color="auto" w:fill="FFFFFF"/>
        <w:spacing w:line="315" w:lineRule="atLeast"/>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L'incentivo sostiene interventi finalizzati a garantire il raggiungimento degli obiettivi nazionali di efficienza energetica.</w:t>
      </w:r>
    </w:p>
    <w:p w14:paraId="2D4317FF" w14:textId="77777777" w:rsidR="00584B65" w:rsidRPr="00584B65" w:rsidRDefault="00584B65" w:rsidP="00584B65">
      <w:pPr>
        <w:shd w:val="clear" w:color="auto" w:fill="FFFFFF"/>
        <w:spacing w:line="315" w:lineRule="atLeast"/>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Le agevolazioni sono rivolte a imprese di tutti i settori, in forma singola o in forma aggregata o associata, ESCO e Pubbliche Amministrazioni.</w:t>
      </w:r>
    </w:p>
    <w:p w14:paraId="02D73E21" w14:textId="77777777" w:rsidR="008F59F0" w:rsidRPr="008F59F0"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M</w:t>
      </w:r>
      <w:r w:rsidR="008F59F0" w:rsidRPr="008F59F0">
        <w:rPr>
          <w:rFonts w:ascii="Arial" w:eastAsia="Times New Roman" w:hAnsi="Arial" w:cs="Times New Roman"/>
          <w:b/>
          <w:bCs/>
          <w:color w:val="000000"/>
          <w:sz w:val="27"/>
          <w:szCs w:val="27"/>
          <w:lang w:eastAsia="it-IT"/>
        </w:rPr>
        <w:t>ISURE PER L’AGRICOLTURA</w:t>
      </w:r>
    </w:p>
    <w:p w14:paraId="4B551D42"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Diverse le misure a favore delle imprese agricole (art. 1, commi 515-519 e 521-526).</w:t>
      </w:r>
    </w:p>
    <w:p w14:paraId="1B505B47"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xml:space="preserve">Con il comma 523 si emenda l’art. 9, </w:t>
      </w:r>
      <w:proofErr w:type="spellStart"/>
      <w:r w:rsidRPr="00584B65">
        <w:rPr>
          <w:rFonts w:ascii="Arial" w:eastAsia="Times New Roman" w:hAnsi="Arial" w:cs="Times New Roman"/>
          <w:color w:val="000000"/>
          <w:sz w:val="23"/>
          <w:szCs w:val="23"/>
          <w:lang w:eastAsia="it-IT"/>
        </w:rPr>
        <w:t>D.Lgs.</w:t>
      </w:r>
      <w:proofErr w:type="spellEnd"/>
      <w:r w:rsidRPr="00584B65">
        <w:rPr>
          <w:rFonts w:ascii="Arial" w:eastAsia="Times New Roman" w:hAnsi="Arial" w:cs="Times New Roman"/>
          <w:color w:val="000000"/>
          <w:sz w:val="23"/>
          <w:szCs w:val="23"/>
          <w:lang w:eastAsia="it-IT"/>
        </w:rPr>
        <w:t xml:space="preserve"> n. 185/2000, armonizzandolo con la formulazione dell’art. 10-</w:t>
      </w:r>
      <w:r w:rsidRPr="00584B65">
        <w:rPr>
          <w:rFonts w:ascii="Arial" w:eastAsia="Times New Roman" w:hAnsi="Arial" w:cs="Times New Roman"/>
          <w:i/>
          <w:iCs/>
          <w:color w:val="000000"/>
          <w:sz w:val="23"/>
          <w:szCs w:val="23"/>
          <w:bdr w:val="none" w:sz="0" w:space="0" w:color="auto" w:frame="1"/>
          <w:lang w:eastAsia="it-IT"/>
        </w:rPr>
        <w:t>bis</w:t>
      </w:r>
      <w:r w:rsidRPr="00584B65">
        <w:rPr>
          <w:rFonts w:ascii="Arial" w:eastAsia="Times New Roman" w:hAnsi="Arial" w:cs="Times New Roman"/>
          <w:color w:val="000000"/>
          <w:sz w:val="23"/>
          <w:szCs w:val="23"/>
          <w:lang w:eastAsia="it-IT"/>
        </w:rPr>
        <w:t> dello stesso decreto, per come modificato dall’art. 68, comma 9, D.L. n. 73/2021, che ha esteso la misura “</w:t>
      </w:r>
      <w:r w:rsidRPr="00584B65">
        <w:rPr>
          <w:rFonts w:ascii="Arial" w:eastAsia="Times New Roman" w:hAnsi="Arial" w:cs="Times New Roman"/>
          <w:color w:val="000000"/>
          <w:sz w:val="23"/>
          <w:szCs w:val="23"/>
          <w:bdr w:val="none" w:sz="0" w:space="0" w:color="auto" w:frame="1"/>
          <w:lang w:eastAsia="it-IT"/>
        </w:rPr>
        <w:t>ISMEA più impresa</w:t>
      </w:r>
      <w:r w:rsidRPr="00584B65">
        <w:rPr>
          <w:rFonts w:ascii="Arial" w:eastAsia="Times New Roman" w:hAnsi="Arial" w:cs="Times New Roman"/>
          <w:color w:val="000000"/>
          <w:sz w:val="23"/>
          <w:szCs w:val="23"/>
          <w:lang w:eastAsia="it-IT"/>
        </w:rPr>
        <w:t>”, inizialmente prevista solo in favore dei giovani imprenditori, anche alle donne di tutte le età.</w:t>
      </w:r>
    </w:p>
    <w:p w14:paraId="74CA654B"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Si amplia inoltre la platea dei soggetti beneficiari della misura, eliminando il vincolo di soglia minima della metà numerica dei soci quale requisito di ammissibilità delle società.</w:t>
      </w:r>
    </w:p>
    <w:p w14:paraId="139CD86C"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Post modifica, quindi, l’accesso è consentito alle imprese amministrate e condotte da un giovane imprenditore agricolo di età compresa tra 18 e 40 anni o da una donna ovvero, nel caso di società, composte, per oltre la metà delle quote di partecipazione, da giovani di età compresa tra 18 e 40 anni o da donne.</w:t>
      </w:r>
    </w:p>
    <w:p w14:paraId="0327698D"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Ante modifica, invece, erano ammesse le imprese amministrate e condotte da un giovane imprenditore agricolo di età compresa tra 18 e 40 anni o da una donna ovvero, nel caso di società, composte per oltre la metà numerica dei soci e delle quote di partecipazione, da giovani di età compresa tra 18 e 40 anni o da donne.</w:t>
      </w:r>
    </w:p>
    <w:p w14:paraId="1A08F02F"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Si prevede inoltre:</w:t>
      </w:r>
    </w:p>
    <w:p w14:paraId="63F30A20"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l'istituzione, nello stato di previsione del Ministero delle politiche agricole, di un "Fondo mutualistico nazionale per la copertura dei danni catastrofali meteo-climatici alle produzioni agricole causati da alluvione, gelo-brina e siccità", con una dotazione di 50 milioni di euro per l'anno 2022;</w:t>
      </w:r>
    </w:p>
    <w:p w14:paraId="7DD8504D"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l’incremento di 50 milioni di euro, per l’anno 2022, delle risorse finanziarie dedicate alle attività svolte da ISMEA a condizioni di mercato (aumenti di capitale, prestiti obbligazionari, strumenti finanziari partecipativi), per progetti di sviluppo delle società del settore agricolo e agroalimentare (</w:t>
      </w:r>
      <w:r w:rsidRPr="00584B65">
        <w:rPr>
          <w:rFonts w:ascii="Arial" w:eastAsia="Times New Roman" w:hAnsi="Arial" w:cs="Times New Roman"/>
          <w:color w:val="000000"/>
          <w:sz w:val="23"/>
          <w:szCs w:val="23"/>
          <w:bdr w:val="none" w:sz="0" w:space="0" w:color="auto" w:frame="1"/>
          <w:lang w:eastAsia="it-IT"/>
        </w:rPr>
        <w:t>ISMEA Investe</w:t>
      </w:r>
      <w:r w:rsidRPr="00584B65">
        <w:rPr>
          <w:rFonts w:ascii="Arial" w:eastAsia="Times New Roman" w:hAnsi="Arial" w:cs="Times New Roman"/>
          <w:color w:val="000000"/>
          <w:sz w:val="23"/>
          <w:szCs w:val="23"/>
          <w:lang w:eastAsia="it-IT"/>
        </w:rPr>
        <w:t>);</w:t>
      </w:r>
    </w:p>
    <w:p w14:paraId="6E8DA2A4"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xml:space="preserve">- l’incremento di </w:t>
      </w:r>
      <w:proofErr w:type="gramStart"/>
      <w:r w:rsidRPr="00584B65">
        <w:rPr>
          <w:rFonts w:ascii="Arial" w:eastAsia="Times New Roman" w:hAnsi="Arial" w:cs="Times New Roman"/>
          <w:color w:val="000000"/>
          <w:sz w:val="23"/>
          <w:szCs w:val="23"/>
          <w:lang w:eastAsia="it-IT"/>
        </w:rPr>
        <w:t>10</w:t>
      </w:r>
      <w:proofErr w:type="gramEnd"/>
      <w:r w:rsidRPr="00584B65">
        <w:rPr>
          <w:rFonts w:ascii="Arial" w:eastAsia="Times New Roman" w:hAnsi="Arial" w:cs="Times New Roman"/>
          <w:color w:val="000000"/>
          <w:sz w:val="23"/>
          <w:szCs w:val="23"/>
          <w:lang w:eastAsia="it-IT"/>
        </w:rPr>
        <w:t xml:space="preserve"> milioni di euro delle risorse finanziarie dedicate alle attività svolte da ISMEA per la concessione di garanzie a fronte di finanziamenti a breve, a medio ed a lungo termine;</w:t>
      </w:r>
    </w:p>
    <w:p w14:paraId="4AA55368"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l'incremento di 5 milioni per il 2022 della dotazione del Fondo rotativo per favorire lo sviluppo dell'imprenditorialità femminile in agricoltura (</w:t>
      </w:r>
      <w:r w:rsidRPr="00584B65">
        <w:rPr>
          <w:rFonts w:ascii="Arial" w:eastAsia="Times New Roman" w:hAnsi="Arial" w:cs="Times New Roman"/>
          <w:color w:val="000000"/>
          <w:sz w:val="23"/>
          <w:szCs w:val="23"/>
          <w:bdr w:val="none" w:sz="0" w:space="0" w:color="auto" w:frame="1"/>
          <w:lang w:eastAsia="it-IT"/>
        </w:rPr>
        <w:t>ISMEA donne in campo</w:t>
      </w:r>
      <w:r w:rsidRPr="00584B65">
        <w:rPr>
          <w:rFonts w:ascii="Arial" w:eastAsia="Times New Roman" w:hAnsi="Arial" w:cs="Times New Roman"/>
          <w:color w:val="000000"/>
          <w:sz w:val="23"/>
          <w:szCs w:val="23"/>
          <w:lang w:eastAsia="it-IT"/>
        </w:rPr>
        <w:t>);</w:t>
      </w:r>
    </w:p>
    <w:p w14:paraId="437D90ED" w14:textId="77777777" w:rsidR="00584B65" w:rsidRPr="00584B65" w:rsidRDefault="00584B65" w:rsidP="008F59F0">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l'incremento di 15 milioni di euro, per il 2022, delle risorse destinate a finanziare attività in favore dello sviluppo dell'imprenditorialità in agricoltura e del ricambio generazionale (</w:t>
      </w:r>
      <w:r w:rsidRPr="00584B65">
        <w:rPr>
          <w:rFonts w:ascii="Arial" w:eastAsia="Times New Roman" w:hAnsi="Arial" w:cs="Times New Roman"/>
          <w:color w:val="000000"/>
          <w:sz w:val="23"/>
          <w:szCs w:val="23"/>
          <w:bdr w:val="none" w:sz="0" w:space="0" w:color="auto" w:frame="1"/>
          <w:lang w:eastAsia="it-IT"/>
        </w:rPr>
        <w:t>ISMEA più impresa</w:t>
      </w:r>
      <w:r w:rsidRPr="00584B65">
        <w:rPr>
          <w:rFonts w:ascii="Arial" w:eastAsia="Times New Roman" w:hAnsi="Arial" w:cs="Times New Roman"/>
          <w:color w:val="000000"/>
          <w:sz w:val="23"/>
          <w:szCs w:val="23"/>
          <w:lang w:eastAsia="it-IT"/>
        </w:rPr>
        <w:t>).</w:t>
      </w:r>
    </w:p>
    <w:p w14:paraId="432DAD43" w14:textId="1BDA0B2C" w:rsidR="00584B65" w:rsidRPr="00584B65" w:rsidRDefault="00584B65" w:rsidP="00584B65">
      <w:pPr>
        <w:shd w:val="clear" w:color="auto" w:fill="FFFFFF"/>
        <w:spacing w:before="450" w:after="375" w:line="360" w:lineRule="atLeast"/>
        <w:textAlignment w:val="baseline"/>
        <w:outlineLvl w:val="1"/>
        <w:rPr>
          <w:rFonts w:ascii="Arial" w:eastAsia="Times New Roman" w:hAnsi="Arial" w:cs="Times New Roman"/>
          <w:b/>
          <w:bCs/>
          <w:color w:val="000000"/>
          <w:sz w:val="27"/>
          <w:szCs w:val="27"/>
          <w:lang w:eastAsia="it-IT"/>
        </w:rPr>
      </w:pPr>
      <w:r w:rsidRPr="00584B65">
        <w:rPr>
          <w:rFonts w:ascii="Arial" w:eastAsia="Times New Roman" w:hAnsi="Arial" w:cs="Times New Roman"/>
          <w:b/>
          <w:bCs/>
          <w:color w:val="000000"/>
          <w:sz w:val="27"/>
          <w:szCs w:val="27"/>
          <w:lang w:eastAsia="it-IT"/>
        </w:rPr>
        <w:t>M</w:t>
      </w:r>
      <w:r w:rsidR="0007590A" w:rsidRPr="0007590A">
        <w:rPr>
          <w:rFonts w:ascii="Arial" w:eastAsia="Times New Roman" w:hAnsi="Arial" w:cs="Times New Roman"/>
          <w:b/>
          <w:bCs/>
          <w:color w:val="000000"/>
          <w:sz w:val="27"/>
          <w:szCs w:val="27"/>
          <w:lang w:eastAsia="it-IT"/>
        </w:rPr>
        <w:t>ICROCREDITO</w:t>
      </w:r>
    </w:p>
    <w:p w14:paraId="4A5CC306" w14:textId="77777777" w:rsidR="00584B65" w:rsidRPr="00584B65" w:rsidRDefault="00584B65" w:rsidP="0007590A">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lastRenderedPageBreak/>
        <w:t>Il comma 914 modifica la disciplina del microcredito:</w:t>
      </w:r>
    </w:p>
    <w:p w14:paraId="63B2954B" w14:textId="77777777" w:rsidR="00584B65" w:rsidRPr="00584B65" w:rsidRDefault="00584B65" w:rsidP="0007590A">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elevando da 40.000 a 75.000 euro l’importo massimo di credito concedibile per le operazioni di lavoro autonomo e di microimprenditorialità;</w:t>
      </w:r>
    </w:p>
    <w:p w14:paraId="55164F76" w14:textId="77777777" w:rsidR="00584B65" w:rsidRPr="00584B65" w:rsidRDefault="00584B65" w:rsidP="0007590A">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consentendo agli intermediari di microcredito di concedere finanziamenti a società a responsabilità limitata senza l’obbligo di assistenza di garanzie reali, nell’importo massimo di 100.000 euro;</w:t>
      </w:r>
    </w:p>
    <w:p w14:paraId="53F34D50" w14:textId="77777777" w:rsidR="00584B65" w:rsidRPr="00584B65" w:rsidRDefault="00584B65" w:rsidP="0007590A">
      <w:pPr>
        <w:shd w:val="clear" w:color="auto" w:fill="FFFFFF"/>
        <w:spacing w:line="315" w:lineRule="atLeast"/>
        <w:jc w:val="both"/>
        <w:textAlignment w:val="baseline"/>
        <w:rPr>
          <w:rFonts w:ascii="Arial" w:eastAsia="Times New Roman" w:hAnsi="Arial" w:cs="Times New Roman"/>
          <w:color w:val="000000"/>
          <w:sz w:val="23"/>
          <w:szCs w:val="23"/>
          <w:lang w:eastAsia="it-IT"/>
        </w:rPr>
      </w:pPr>
      <w:r w:rsidRPr="00584B65">
        <w:rPr>
          <w:rFonts w:ascii="Arial" w:eastAsia="Times New Roman" w:hAnsi="Arial" w:cs="Times New Roman"/>
          <w:color w:val="000000"/>
          <w:sz w:val="23"/>
          <w:szCs w:val="23"/>
          <w:lang w:eastAsia="it-IT"/>
        </w:rPr>
        <w:t>- prevedendo che le disposizioni di rango secondario individuino una durata ai finanziamenti fino a 15 anni e che nella concessione del microcredito siano escluse le limitazioni riguardante i ricavi, il livello di indebitamento e l’attivo patrimoniale dei soggetti finanziati</w:t>
      </w:r>
    </w:p>
    <w:sectPr w:rsidR="00584B65" w:rsidRPr="00584B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65"/>
    <w:rsid w:val="0007590A"/>
    <w:rsid w:val="00482A95"/>
    <w:rsid w:val="00584B65"/>
    <w:rsid w:val="008C3E21"/>
    <w:rsid w:val="008C78DE"/>
    <w:rsid w:val="008F5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FF4"/>
  <w15:chartTrackingRefBased/>
  <w15:docId w15:val="{C65CFA40-F485-40FC-A1FC-B1B4BED9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9230">
      <w:bodyDiv w:val="1"/>
      <w:marLeft w:val="0"/>
      <w:marRight w:val="0"/>
      <w:marTop w:val="0"/>
      <w:marBottom w:val="0"/>
      <w:divBdr>
        <w:top w:val="none" w:sz="0" w:space="0" w:color="auto"/>
        <w:left w:val="none" w:sz="0" w:space="0" w:color="auto"/>
        <w:bottom w:val="none" w:sz="0" w:space="0" w:color="auto"/>
        <w:right w:val="none" w:sz="0" w:space="0" w:color="auto"/>
      </w:divBdr>
      <w:divsChild>
        <w:div w:id="1586110101">
          <w:marLeft w:val="0"/>
          <w:marRight w:val="0"/>
          <w:marTop w:val="0"/>
          <w:marBottom w:val="300"/>
          <w:divBdr>
            <w:top w:val="none" w:sz="0" w:space="0" w:color="auto"/>
            <w:left w:val="none" w:sz="0" w:space="0" w:color="auto"/>
            <w:bottom w:val="none" w:sz="0" w:space="0" w:color="auto"/>
            <w:right w:val="none" w:sz="0" w:space="0" w:color="auto"/>
          </w:divBdr>
        </w:div>
        <w:div w:id="1244798199">
          <w:marLeft w:val="0"/>
          <w:marRight w:val="0"/>
          <w:marTop w:val="0"/>
          <w:marBottom w:val="300"/>
          <w:divBdr>
            <w:top w:val="none" w:sz="0" w:space="0" w:color="auto"/>
            <w:left w:val="none" w:sz="0" w:space="0" w:color="auto"/>
            <w:bottom w:val="none" w:sz="0" w:space="0" w:color="auto"/>
            <w:right w:val="none" w:sz="0" w:space="0" w:color="auto"/>
          </w:divBdr>
        </w:div>
        <w:div w:id="1395009806">
          <w:marLeft w:val="0"/>
          <w:marRight w:val="0"/>
          <w:marTop w:val="0"/>
          <w:marBottom w:val="300"/>
          <w:divBdr>
            <w:top w:val="none" w:sz="0" w:space="0" w:color="auto"/>
            <w:left w:val="none" w:sz="0" w:space="0" w:color="auto"/>
            <w:bottom w:val="none" w:sz="0" w:space="0" w:color="auto"/>
            <w:right w:val="none" w:sz="0" w:space="0" w:color="auto"/>
          </w:divBdr>
        </w:div>
        <w:div w:id="107938641">
          <w:marLeft w:val="0"/>
          <w:marRight w:val="0"/>
          <w:marTop w:val="0"/>
          <w:marBottom w:val="300"/>
          <w:divBdr>
            <w:top w:val="none" w:sz="0" w:space="0" w:color="auto"/>
            <w:left w:val="none" w:sz="0" w:space="0" w:color="auto"/>
            <w:bottom w:val="none" w:sz="0" w:space="0" w:color="auto"/>
            <w:right w:val="none" w:sz="0" w:space="0" w:color="auto"/>
          </w:divBdr>
        </w:div>
        <w:div w:id="1257901851">
          <w:marLeft w:val="0"/>
          <w:marRight w:val="0"/>
          <w:marTop w:val="0"/>
          <w:marBottom w:val="300"/>
          <w:divBdr>
            <w:top w:val="none" w:sz="0" w:space="0" w:color="auto"/>
            <w:left w:val="none" w:sz="0" w:space="0" w:color="auto"/>
            <w:bottom w:val="none" w:sz="0" w:space="0" w:color="auto"/>
            <w:right w:val="none" w:sz="0" w:space="0" w:color="auto"/>
          </w:divBdr>
        </w:div>
        <w:div w:id="265234183">
          <w:marLeft w:val="0"/>
          <w:marRight w:val="0"/>
          <w:marTop w:val="0"/>
          <w:marBottom w:val="300"/>
          <w:divBdr>
            <w:top w:val="none" w:sz="0" w:space="0" w:color="auto"/>
            <w:left w:val="none" w:sz="0" w:space="0" w:color="auto"/>
            <w:bottom w:val="none" w:sz="0" w:space="0" w:color="auto"/>
            <w:right w:val="none" w:sz="0" w:space="0" w:color="auto"/>
          </w:divBdr>
        </w:div>
        <w:div w:id="1359308865">
          <w:marLeft w:val="0"/>
          <w:marRight w:val="0"/>
          <w:marTop w:val="0"/>
          <w:marBottom w:val="300"/>
          <w:divBdr>
            <w:top w:val="none" w:sz="0" w:space="0" w:color="auto"/>
            <w:left w:val="none" w:sz="0" w:space="0" w:color="auto"/>
            <w:bottom w:val="none" w:sz="0" w:space="0" w:color="auto"/>
            <w:right w:val="none" w:sz="0" w:space="0" w:color="auto"/>
          </w:divBdr>
        </w:div>
        <w:div w:id="1018966024">
          <w:marLeft w:val="0"/>
          <w:marRight w:val="0"/>
          <w:marTop w:val="0"/>
          <w:marBottom w:val="300"/>
          <w:divBdr>
            <w:top w:val="none" w:sz="0" w:space="0" w:color="auto"/>
            <w:left w:val="none" w:sz="0" w:space="0" w:color="auto"/>
            <w:bottom w:val="none" w:sz="0" w:space="0" w:color="auto"/>
            <w:right w:val="none" w:sz="0" w:space="0" w:color="auto"/>
          </w:divBdr>
        </w:div>
        <w:div w:id="1084493957">
          <w:marLeft w:val="0"/>
          <w:marRight w:val="0"/>
          <w:marTop w:val="0"/>
          <w:marBottom w:val="300"/>
          <w:divBdr>
            <w:top w:val="none" w:sz="0" w:space="0" w:color="auto"/>
            <w:left w:val="none" w:sz="0" w:space="0" w:color="auto"/>
            <w:bottom w:val="none" w:sz="0" w:space="0" w:color="auto"/>
            <w:right w:val="none" w:sz="0" w:space="0" w:color="auto"/>
          </w:divBdr>
        </w:div>
        <w:div w:id="1389455548">
          <w:marLeft w:val="0"/>
          <w:marRight w:val="0"/>
          <w:marTop w:val="0"/>
          <w:marBottom w:val="300"/>
          <w:divBdr>
            <w:top w:val="none" w:sz="0" w:space="0" w:color="auto"/>
            <w:left w:val="none" w:sz="0" w:space="0" w:color="auto"/>
            <w:bottom w:val="none" w:sz="0" w:space="0" w:color="auto"/>
            <w:right w:val="none" w:sz="0" w:space="0" w:color="auto"/>
          </w:divBdr>
        </w:div>
        <w:div w:id="333650897">
          <w:marLeft w:val="0"/>
          <w:marRight w:val="0"/>
          <w:marTop w:val="0"/>
          <w:marBottom w:val="300"/>
          <w:divBdr>
            <w:top w:val="none" w:sz="0" w:space="0" w:color="auto"/>
            <w:left w:val="none" w:sz="0" w:space="0" w:color="auto"/>
            <w:bottom w:val="none" w:sz="0" w:space="0" w:color="auto"/>
            <w:right w:val="none" w:sz="0" w:space="0" w:color="auto"/>
          </w:divBdr>
        </w:div>
        <w:div w:id="1037050262">
          <w:marLeft w:val="0"/>
          <w:marRight w:val="0"/>
          <w:marTop w:val="0"/>
          <w:marBottom w:val="300"/>
          <w:divBdr>
            <w:top w:val="none" w:sz="0" w:space="0" w:color="auto"/>
            <w:left w:val="none" w:sz="0" w:space="0" w:color="auto"/>
            <w:bottom w:val="none" w:sz="0" w:space="0" w:color="auto"/>
            <w:right w:val="none" w:sz="0" w:space="0" w:color="auto"/>
          </w:divBdr>
        </w:div>
        <w:div w:id="244652203">
          <w:marLeft w:val="0"/>
          <w:marRight w:val="0"/>
          <w:marTop w:val="0"/>
          <w:marBottom w:val="300"/>
          <w:divBdr>
            <w:top w:val="none" w:sz="0" w:space="0" w:color="auto"/>
            <w:left w:val="none" w:sz="0" w:space="0" w:color="auto"/>
            <w:bottom w:val="none" w:sz="0" w:space="0" w:color="auto"/>
            <w:right w:val="none" w:sz="0" w:space="0" w:color="auto"/>
          </w:divBdr>
        </w:div>
        <w:div w:id="1543126836">
          <w:marLeft w:val="0"/>
          <w:marRight w:val="0"/>
          <w:marTop w:val="0"/>
          <w:marBottom w:val="300"/>
          <w:divBdr>
            <w:top w:val="none" w:sz="0" w:space="0" w:color="auto"/>
            <w:left w:val="none" w:sz="0" w:space="0" w:color="auto"/>
            <w:bottom w:val="none" w:sz="0" w:space="0" w:color="auto"/>
            <w:right w:val="none" w:sz="0" w:space="0" w:color="auto"/>
          </w:divBdr>
        </w:div>
        <w:div w:id="1518694117">
          <w:marLeft w:val="0"/>
          <w:marRight w:val="0"/>
          <w:marTop w:val="0"/>
          <w:marBottom w:val="300"/>
          <w:divBdr>
            <w:top w:val="none" w:sz="0" w:space="0" w:color="auto"/>
            <w:left w:val="none" w:sz="0" w:space="0" w:color="auto"/>
            <w:bottom w:val="none" w:sz="0" w:space="0" w:color="auto"/>
            <w:right w:val="none" w:sz="0" w:space="0" w:color="auto"/>
          </w:divBdr>
        </w:div>
        <w:div w:id="1851330856">
          <w:marLeft w:val="0"/>
          <w:marRight w:val="0"/>
          <w:marTop w:val="0"/>
          <w:marBottom w:val="300"/>
          <w:divBdr>
            <w:top w:val="none" w:sz="0" w:space="0" w:color="auto"/>
            <w:left w:val="none" w:sz="0" w:space="0" w:color="auto"/>
            <w:bottom w:val="none" w:sz="0" w:space="0" w:color="auto"/>
            <w:right w:val="none" w:sz="0" w:space="0" w:color="auto"/>
          </w:divBdr>
        </w:div>
        <w:div w:id="942342197">
          <w:marLeft w:val="0"/>
          <w:marRight w:val="0"/>
          <w:marTop w:val="0"/>
          <w:marBottom w:val="300"/>
          <w:divBdr>
            <w:top w:val="none" w:sz="0" w:space="0" w:color="auto"/>
            <w:left w:val="none" w:sz="0" w:space="0" w:color="auto"/>
            <w:bottom w:val="none" w:sz="0" w:space="0" w:color="auto"/>
            <w:right w:val="none" w:sz="0" w:space="0" w:color="auto"/>
          </w:divBdr>
        </w:div>
        <w:div w:id="1740440218">
          <w:marLeft w:val="0"/>
          <w:marRight w:val="0"/>
          <w:marTop w:val="0"/>
          <w:marBottom w:val="300"/>
          <w:divBdr>
            <w:top w:val="none" w:sz="0" w:space="0" w:color="auto"/>
            <w:left w:val="none" w:sz="0" w:space="0" w:color="auto"/>
            <w:bottom w:val="none" w:sz="0" w:space="0" w:color="auto"/>
            <w:right w:val="none" w:sz="0" w:space="0" w:color="auto"/>
          </w:divBdr>
        </w:div>
        <w:div w:id="1291940651">
          <w:marLeft w:val="0"/>
          <w:marRight w:val="0"/>
          <w:marTop w:val="0"/>
          <w:marBottom w:val="300"/>
          <w:divBdr>
            <w:top w:val="none" w:sz="0" w:space="0" w:color="auto"/>
            <w:left w:val="none" w:sz="0" w:space="0" w:color="auto"/>
            <w:bottom w:val="none" w:sz="0" w:space="0" w:color="auto"/>
            <w:right w:val="none" w:sz="0" w:space="0" w:color="auto"/>
          </w:divBdr>
        </w:div>
        <w:div w:id="1913346572">
          <w:marLeft w:val="0"/>
          <w:marRight w:val="0"/>
          <w:marTop w:val="0"/>
          <w:marBottom w:val="300"/>
          <w:divBdr>
            <w:top w:val="none" w:sz="0" w:space="0" w:color="auto"/>
            <w:left w:val="none" w:sz="0" w:space="0" w:color="auto"/>
            <w:bottom w:val="none" w:sz="0" w:space="0" w:color="auto"/>
            <w:right w:val="none" w:sz="0" w:space="0" w:color="auto"/>
          </w:divBdr>
        </w:div>
        <w:div w:id="754670791">
          <w:marLeft w:val="0"/>
          <w:marRight w:val="0"/>
          <w:marTop w:val="0"/>
          <w:marBottom w:val="300"/>
          <w:divBdr>
            <w:top w:val="none" w:sz="0" w:space="0" w:color="auto"/>
            <w:left w:val="none" w:sz="0" w:space="0" w:color="auto"/>
            <w:bottom w:val="none" w:sz="0" w:space="0" w:color="auto"/>
            <w:right w:val="none" w:sz="0" w:space="0" w:color="auto"/>
          </w:divBdr>
        </w:div>
        <w:div w:id="1854296826">
          <w:marLeft w:val="0"/>
          <w:marRight w:val="0"/>
          <w:marTop w:val="0"/>
          <w:marBottom w:val="300"/>
          <w:divBdr>
            <w:top w:val="none" w:sz="0" w:space="0" w:color="auto"/>
            <w:left w:val="none" w:sz="0" w:space="0" w:color="auto"/>
            <w:bottom w:val="none" w:sz="0" w:space="0" w:color="auto"/>
            <w:right w:val="none" w:sz="0" w:space="0" w:color="auto"/>
          </w:divBdr>
        </w:div>
        <w:div w:id="1528829195">
          <w:marLeft w:val="0"/>
          <w:marRight w:val="0"/>
          <w:marTop w:val="0"/>
          <w:marBottom w:val="300"/>
          <w:divBdr>
            <w:top w:val="none" w:sz="0" w:space="0" w:color="auto"/>
            <w:left w:val="none" w:sz="0" w:space="0" w:color="auto"/>
            <w:bottom w:val="none" w:sz="0" w:space="0" w:color="auto"/>
            <w:right w:val="none" w:sz="0" w:space="0" w:color="auto"/>
          </w:divBdr>
        </w:div>
        <w:div w:id="1237399018">
          <w:marLeft w:val="0"/>
          <w:marRight w:val="0"/>
          <w:marTop w:val="0"/>
          <w:marBottom w:val="300"/>
          <w:divBdr>
            <w:top w:val="none" w:sz="0" w:space="0" w:color="auto"/>
            <w:left w:val="none" w:sz="0" w:space="0" w:color="auto"/>
            <w:bottom w:val="none" w:sz="0" w:space="0" w:color="auto"/>
            <w:right w:val="none" w:sz="0" w:space="0" w:color="auto"/>
          </w:divBdr>
        </w:div>
        <w:div w:id="1797094967">
          <w:marLeft w:val="0"/>
          <w:marRight w:val="0"/>
          <w:marTop w:val="0"/>
          <w:marBottom w:val="300"/>
          <w:divBdr>
            <w:top w:val="none" w:sz="0" w:space="0" w:color="auto"/>
            <w:left w:val="none" w:sz="0" w:space="0" w:color="auto"/>
            <w:bottom w:val="none" w:sz="0" w:space="0" w:color="auto"/>
            <w:right w:val="none" w:sz="0" w:space="0" w:color="auto"/>
          </w:divBdr>
        </w:div>
        <w:div w:id="646478531">
          <w:marLeft w:val="0"/>
          <w:marRight w:val="0"/>
          <w:marTop w:val="0"/>
          <w:marBottom w:val="300"/>
          <w:divBdr>
            <w:top w:val="none" w:sz="0" w:space="0" w:color="auto"/>
            <w:left w:val="none" w:sz="0" w:space="0" w:color="auto"/>
            <w:bottom w:val="none" w:sz="0" w:space="0" w:color="auto"/>
            <w:right w:val="none" w:sz="0" w:space="0" w:color="auto"/>
          </w:divBdr>
        </w:div>
        <w:div w:id="654262887">
          <w:marLeft w:val="0"/>
          <w:marRight w:val="0"/>
          <w:marTop w:val="0"/>
          <w:marBottom w:val="300"/>
          <w:divBdr>
            <w:top w:val="none" w:sz="0" w:space="0" w:color="auto"/>
            <w:left w:val="none" w:sz="0" w:space="0" w:color="auto"/>
            <w:bottom w:val="none" w:sz="0" w:space="0" w:color="auto"/>
            <w:right w:val="none" w:sz="0" w:space="0" w:color="auto"/>
          </w:divBdr>
        </w:div>
        <w:div w:id="216478760">
          <w:marLeft w:val="0"/>
          <w:marRight w:val="0"/>
          <w:marTop w:val="0"/>
          <w:marBottom w:val="300"/>
          <w:divBdr>
            <w:top w:val="none" w:sz="0" w:space="0" w:color="auto"/>
            <w:left w:val="none" w:sz="0" w:space="0" w:color="auto"/>
            <w:bottom w:val="none" w:sz="0" w:space="0" w:color="auto"/>
            <w:right w:val="none" w:sz="0" w:space="0" w:color="auto"/>
          </w:divBdr>
        </w:div>
        <w:div w:id="2049452967">
          <w:marLeft w:val="0"/>
          <w:marRight w:val="0"/>
          <w:marTop w:val="0"/>
          <w:marBottom w:val="300"/>
          <w:divBdr>
            <w:top w:val="none" w:sz="0" w:space="0" w:color="auto"/>
            <w:left w:val="none" w:sz="0" w:space="0" w:color="auto"/>
            <w:bottom w:val="none" w:sz="0" w:space="0" w:color="auto"/>
            <w:right w:val="none" w:sz="0" w:space="0" w:color="auto"/>
          </w:divBdr>
        </w:div>
        <w:div w:id="1280842102">
          <w:marLeft w:val="0"/>
          <w:marRight w:val="0"/>
          <w:marTop w:val="0"/>
          <w:marBottom w:val="300"/>
          <w:divBdr>
            <w:top w:val="none" w:sz="0" w:space="0" w:color="auto"/>
            <w:left w:val="none" w:sz="0" w:space="0" w:color="auto"/>
            <w:bottom w:val="none" w:sz="0" w:space="0" w:color="auto"/>
            <w:right w:val="none" w:sz="0" w:space="0" w:color="auto"/>
          </w:divBdr>
        </w:div>
        <w:div w:id="1129979084">
          <w:marLeft w:val="0"/>
          <w:marRight w:val="0"/>
          <w:marTop w:val="0"/>
          <w:marBottom w:val="300"/>
          <w:divBdr>
            <w:top w:val="none" w:sz="0" w:space="0" w:color="auto"/>
            <w:left w:val="none" w:sz="0" w:space="0" w:color="auto"/>
            <w:bottom w:val="none" w:sz="0" w:space="0" w:color="auto"/>
            <w:right w:val="none" w:sz="0" w:space="0" w:color="auto"/>
          </w:divBdr>
        </w:div>
        <w:div w:id="1585843917">
          <w:marLeft w:val="0"/>
          <w:marRight w:val="0"/>
          <w:marTop w:val="0"/>
          <w:marBottom w:val="300"/>
          <w:divBdr>
            <w:top w:val="none" w:sz="0" w:space="0" w:color="auto"/>
            <w:left w:val="none" w:sz="0" w:space="0" w:color="auto"/>
            <w:bottom w:val="none" w:sz="0" w:space="0" w:color="auto"/>
            <w:right w:val="none" w:sz="0" w:space="0" w:color="auto"/>
          </w:divBdr>
        </w:div>
        <w:div w:id="1290085481">
          <w:marLeft w:val="0"/>
          <w:marRight w:val="0"/>
          <w:marTop w:val="0"/>
          <w:marBottom w:val="300"/>
          <w:divBdr>
            <w:top w:val="none" w:sz="0" w:space="0" w:color="auto"/>
            <w:left w:val="none" w:sz="0" w:space="0" w:color="auto"/>
            <w:bottom w:val="none" w:sz="0" w:space="0" w:color="auto"/>
            <w:right w:val="none" w:sz="0" w:space="0" w:color="auto"/>
          </w:divBdr>
        </w:div>
        <w:div w:id="1743866181">
          <w:marLeft w:val="0"/>
          <w:marRight w:val="0"/>
          <w:marTop w:val="0"/>
          <w:marBottom w:val="300"/>
          <w:divBdr>
            <w:top w:val="none" w:sz="0" w:space="0" w:color="auto"/>
            <w:left w:val="none" w:sz="0" w:space="0" w:color="auto"/>
            <w:bottom w:val="none" w:sz="0" w:space="0" w:color="auto"/>
            <w:right w:val="none" w:sz="0" w:space="0" w:color="auto"/>
          </w:divBdr>
        </w:div>
        <w:div w:id="2109232864">
          <w:marLeft w:val="0"/>
          <w:marRight w:val="0"/>
          <w:marTop w:val="0"/>
          <w:marBottom w:val="300"/>
          <w:divBdr>
            <w:top w:val="none" w:sz="0" w:space="0" w:color="auto"/>
            <w:left w:val="none" w:sz="0" w:space="0" w:color="auto"/>
            <w:bottom w:val="none" w:sz="0" w:space="0" w:color="auto"/>
            <w:right w:val="none" w:sz="0" w:space="0" w:color="auto"/>
          </w:divBdr>
        </w:div>
        <w:div w:id="1819107149">
          <w:marLeft w:val="0"/>
          <w:marRight w:val="0"/>
          <w:marTop w:val="0"/>
          <w:marBottom w:val="300"/>
          <w:divBdr>
            <w:top w:val="none" w:sz="0" w:space="0" w:color="auto"/>
            <w:left w:val="none" w:sz="0" w:space="0" w:color="auto"/>
            <w:bottom w:val="none" w:sz="0" w:space="0" w:color="auto"/>
            <w:right w:val="none" w:sz="0" w:space="0" w:color="auto"/>
          </w:divBdr>
        </w:div>
        <w:div w:id="1073239399">
          <w:marLeft w:val="0"/>
          <w:marRight w:val="0"/>
          <w:marTop w:val="0"/>
          <w:marBottom w:val="300"/>
          <w:divBdr>
            <w:top w:val="none" w:sz="0" w:space="0" w:color="auto"/>
            <w:left w:val="none" w:sz="0" w:space="0" w:color="auto"/>
            <w:bottom w:val="none" w:sz="0" w:space="0" w:color="auto"/>
            <w:right w:val="none" w:sz="0" w:space="0" w:color="auto"/>
          </w:divBdr>
        </w:div>
        <w:div w:id="1626303415">
          <w:marLeft w:val="0"/>
          <w:marRight w:val="0"/>
          <w:marTop w:val="0"/>
          <w:marBottom w:val="300"/>
          <w:divBdr>
            <w:top w:val="none" w:sz="0" w:space="0" w:color="auto"/>
            <w:left w:val="none" w:sz="0" w:space="0" w:color="auto"/>
            <w:bottom w:val="none" w:sz="0" w:space="0" w:color="auto"/>
            <w:right w:val="none" w:sz="0" w:space="0" w:color="auto"/>
          </w:divBdr>
        </w:div>
        <w:div w:id="2003117190">
          <w:marLeft w:val="0"/>
          <w:marRight w:val="0"/>
          <w:marTop w:val="0"/>
          <w:marBottom w:val="300"/>
          <w:divBdr>
            <w:top w:val="none" w:sz="0" w:space="0" w:color="auto"/>
            <w:left w:val="none" w:sz="0" w:space="0" w:color="auto"/>
            <w:bottom w:val="none" w:sz="0" w:space="0" w:color="auto"/>
            <w:right w:val="none" w:sz="0" w:space="0" w:color="auto"/>
          </w:divBdr>
        </w:div>
        <w:div w:id="828446466">
          <w:marLeft w:val="0"/>
          <w:marRight w:val="0"/>
          <w:marTop w:val="0"/>
          <w:marBottom w:val="300"/>
          <w:divBdr>
            <w:top w:val="none" w:sz="0" w:space="0" w:color="auto"/>
            <w:left w:val="none" w:sz="0" w:space="0" w:color="auto"/>
            <w:bottom w:val="none" w:sz="0" w:space="0" w:color="auto"/>
            <w:right w:val="none" w:sz="0" w:space="0" w:color="auto"/>
          </w:divBdr>
        </w:div>
        <w:div w:id="889877614">
          <w:marLeft w:val="0"/>
          <w:marRight w:val="0"/>
          <w:marTop w:val="0"/>
          <w:marBottom w:val="300"/>
          <w:divBdr>
            <w:top w:val="none" w:sz="0" w:space="0" w:color="auto"/>
            <w:left w:val="none" w:sz="0" w:space="0" w:color="auto"/>
            <w:bottom w:val="none" w:sz="0" w:space="0" w:color="auto"/>
            <w:right w:val="none" w:sz="0" w:space="0" w:color="auto"/>
          </w:divBdr>
        </w:div>
        <w:div w:id="1360081792">
          <w:marLeft w:val="0"/>
          <w:marRight w:val="0"/>
          <w:marTop w:val="0"/>
          <w:marBottom w:val="300"/>
          <w:divBdr>
            <w:top w:val="none" w:sz="0" w:space="0" w:color="auto"/>
            <w:left w:val="none" w:sz="0" w:space="0" w:color="auto"/>
            <w:bottom w:val="none" w:sz="0" w:space="0" w:color="auto"/>
            <w:right w:val="none" w:sz="0" w:space="0" w:color="auto"/>
          </w:divBdr>
        </w:div>
        <w:div w:id="1181891378">
          <w:marLeft w:val="0"/>
          <w:marRight w:val="0"/>
          <w:marTop w:val="0"/>
          <w:marBottom w:val="300"/>
          <w:divBdr>
            <w:top w:val="none" w:sz="0" w:space="0" w:color="auto"/>
            <w:left w:val="none" w:sz="0" w:space="0" w:color="auto"/>
            <w:bottom w:val="none" w:sz="0" w:space="0" w:color="auto"/>
            <w:right w:val="none" w:sz="0" w:space="0" w:color="auto"/>
          </w:divBdr>
        </w:div>
        <w:div w:id="199052195">
          <w:marLeft w:val="0"/>
          <w:marRight w:val="0"/>
          <w:marTop w:val="0"/>
          <w:marBottom w:val="300"/>
          <w:divBdr>
            <w:top w:val="none" w:sz="0" w:space="0" w:color="auto"/>
            <w:left w:val="none" w:sz="0" w:space="0" w:color="auto"/>
            <w:bottom w:val="none" w:sz="0" w:space="0" w:color="auto"/>
            <w:right w:val="none" w:sz="0" w:space="0" w:color="auto"/>
          </w:divBdr>
        </w:div>
        <w:div w:id="1221284190">
          <w:marLeft w:val="0"/>
          <w:marRight w:val="0"/>
          <w:marTop w:val="0"/>
          <w:marBottom w:val="300"/>
          <w:divBdr>
            <w:top w:val="none" w:sz="0" w:space="0" w:color="auto"/>
            <w:left w:val="none" w:sz="0" w:space="0" w:color="auto"/>
            <w:bottom w:val="none" w:sz="0" w:space="0" w:color="auto"/>
            <w:right w:val="none" w:sz="0" w:space="0" w:color="auto"/>
          </w:divBdr>
        </w:div>
        <w:div w:id="711467770">
          <w:marLeft w:val="0"/>
          <w:marRight w:val="0"/>
          <w:marTop w:val="0"/>
          <w:marBottom w:val="300"/>
          <w:divBdr>
            <w:top w:val="none" w:sz="0" w:space="0" w:color="auto"/>
            <w:left w:val="none" w:sz="0" w:space="0" w:color="auto"/>
            <w:bottom w:val="none" w:sz="0" w:space="0" w:color="auto"/>
            <w:right w:val="none" w:sz="0" w:space="0" w:color="auto"/>
          </w:divBdr>
        </w:div>
        <w:div w:id="1543595119">
          <w:marLeft w:val="0"/>
          <w:marRight w:val="0"/>
          <w:marTop w:val="0"/>
          <w:marBottom w:val="300"/>
          <w:divBdr>
            <w:top w:val="none" w:sz="0" w:space="0" w:color="auto"/>
            <w:left w:val="none" w:sz="0" w:space="0" w:color="auto"/>
            <w:bottom w:val="none" w:sz="0" w:space="0" w:color="auto"/>
            <w:right w:val="none" w:sz="0" w:space="0" w:color="auto"/>
          </w:divBdr>
        </w:div>
        <w:div w:id="777674156">
          <w:marLeft w:val="0"/>
          <w:marRight w:val="0"/>
          <w:marTop w:val="0"/>
          <w:marBottom w:val="300"/>
          <w:divBdr>
            <w:top w:val="none" w:sz="0" w:space="0" w:color="auto"/>
            <w:left w:val="none" w:sz="0" w:space="0" w:color="auto"/>
            <w:bottom w:val="none" w:sz="0" w:space="0" w:color="auto"/>
            <w:right w:val="none" w:sz="0" w:space="0" w:color="auto"/>
          </w:divBdr>
        </w:div>
        <w:div w:id="609432254">
          <w:marLeft w:val="0"/>
          <w:marRight w:val="0"/>
          <w:marTop w:val="0"/>
          <w:marBottom w:val="300"/>
          <w:divBdr>
            <w:top w:val="none" w:sz="0" w:space="0" w:color="auto"/>
            <w:left w:val="none" w:sz="0" w:space="0" w:color="auto"/>
            <w:bottom w:val="none" w:sz="0" w:space="0" w:color="auto"/>
            <w:right w:val="none" w:sz="0" w:space="0" w:color="auto"/>
          </w:divBdr>
        </w:div>
        <w:div w:id="1164513934">
          <w:marLeft w:val="0"/>
          <w:marRight w:val="0"/>
          <w:marTop w:val="0"/>
          <w:marBottom w:val="300"/>
          <w:divBdr>
            <w:top w:val="none" w:sz="0" w:space="0" w:color="auto"/>
            <w:left w:val="none" w:sz="0" w:space="0" w:color="auto"/>
            <w:bottom w:val="none" w:sz="0" w:space="0" w:color="auto"/>
            <w:right w:val="none" w:sz="0" w:space="0" w:color="auto"/>
          </w:divBdr>
        </w:div>
        <w:div w:id="1283850258">
          <w:marLeft w:val="0"/>
          <w:marRight w:val="0"/>
          <w:marTop w:val="0"/>
          <w:marBottom w:val="300"/>
          <w:divBdr>
            <w:top w:val="none" w:sz="0" w:space="0" w:color="auto"/>
            <w:left w:val="none" w:sz="0" w:space="0" w:color="auto"/>
            <w:bottom w:val="none" w:sz="0" w:space="0" w:color="auto"/>
            <w:right w:val="none" w:sz="0" w:space="0" w:color="auto"/>
          </w:divBdr>
        </w:div>
        <w:div w:id="845172061">
          <w:marLeft w:val="0"/>
          <w:marRight w:val="0"/>
          <w:marTop w:val="0"/>
          <w:marBottom w:val="300"/>
          <w:divBdr>
            <w:top w:val="none" w:sz="0" w:space="0" w:color="auto"/>
            <w:left w:val="none" w:sz="0" w:space="0" w:color="auto"/>
            <w:bottom w:val="none" w:sz="0" w:space="0" w:color="auto"/>
            <w:right w:val="none" w:sz="0" w:space="0" w:color="auto"/>
          </w:divBdr>
        </w:div>
        <w:div w:id="265697831">
          <w:marLeft w:val="0"/>
          <w:marRight w:val="0"/>
          <w:marTop w:val="0"/>
          <w:marBottom w:val="300"/>
          <w:divBdr>
            <w:top w:val="none" w:sz="0" w:space="0" w:color="auto"/>
            <w:left w:val="none" w:sz="0" w:space="0" w:color="auto"/>
            <w:bottom w:val="none" w:sz="0" w:space="0" w:color="auto"/>
            <w:right w:val="none" w:sz="0" w:space="0" w:color="auto"/>
          </w:divBdr>
        </w:div>
        <w:div w:id="1941722772">
          <w:marLeft w:val="0"/>
          <w:marRight w:val="0"/>
          <w:marTop w:val="0"/>
          <w:marBottom w:val="300"/>
          <w:divBdr>
            <w:top w:val="none" w:sz="0" w:space="0" w:color="auto"/>
            <w:left w:val="none" w:sz="0" w:space="0" w:color="auto"/>
            <w:bottom w:val="none" w:sz="0" w:space="0" w:color="auto"/>
            <w:right w:val="none" w:sz="0" w:space="0" w:color="auto"/>
          </w:divBdr>
        </w:div>
        <w:div w:id="142161077">
          <w:marLeft w:val="0"/>
          <w:marRight w:val="0"/>
          <w:marTop w:val="0"/>
          <w:marBottom w:val="300"/>
          <w:divBdr>
            <w:top w:val="none" w:sz="0" w:space="0" w:color="auto"/>
            <w:left w:val="none" w:sz="0" w:space="0" w:color="auto"/>
            <w:bottom w:val="none" w:sz="0" w:space="0" w:color="auto"/>
            <w:right w:val="none" w:sz="0" w:space="0" w:color="auto"/>
          </w:divBdr>
        </w:div>
        <w:div w:id="410349227">
          <w:marLeft w:val="0"/>
          <w:marRight w:val="0"/>
          <w:marTop w:val="0"/>
          <w:marBottom w:val="300"/>
          <w:divBdr>
            <w:top w:val="none" w:sz="0" w:space="0" w:color="auto"/>
            <w:left w:val="none" w:sz="0" w:space="0" w:color="auto"/>
            <w:bottom w:val="none" w:sz="0" w:space="0" w:color="auto"/>
            <w:right w:val="none" w:sz="0" w:space="0" w:color="auto"/>
          </w:divBdr>
        </w:div>
        <w:div w:id="821963935">
          <w:marLeft w:val="0"/>
          <w:marRight w:val="0"/>
          <w:marTop w:val="0"/>
          <w:marBottom w:val="300"/>
          <w:divBdr>
            <w:top w:val="none" w:sz="0" w:space="0" w:color="auto"/>
            <w:left w:val="none" w:sz="0" w:space="0" w:color="auto"/>
            <w:bottom w:val="none" w:sz="0" w:space="0" w:color="auto"/>
            <w:right w:val="none" w:sz="0" w:space="0" w:color="auto"/>
          </w:divBdr>
        </w:div>
        <w:div w:id="1457799016">
          <w:marLeft w:val="0"/>
          <w:marRight w:val="0"/>
          <w:marTop w:val="0"/>
          <w:marBottom w:val="300"/>
          <w:divBdr>
            <w:top w:val="none" w:sz="0" w:space="0" w:color="auto"/>
            <w:left w:val="none" w:sz="0" w:space="0" w:color="auto"/>
            <w:bottom w:val="none" w:sz="0" w:space="0" w:color="auto"/>
            <w:right w:val="none" w:sz="0" w:space="0" w:color="auto"/>
          </w:divBdr>
        </w:div>
        <w:div w:id="259222297">
          <w:marLeft w:val="0"/>
          <w:marRight w:val="0"/>
          <w:marTop w:val="0"/>
          <w:marBottom w:val="300"/>
          <w:divBdr>
            <w:top w:val="none" w:sz="0" w:space="0" w:color="auto"/>
            <w:left w:val="none" w:sz="0" w:space="0" w:color="auto"/>
            <w:bottom w:val="none" w:sz="0" w:space="0" w:color="auto"/>
            <w:right w:val="none" w:sz="0" w:space="0" w:color="auto"/>
          </w:divBdr>
        </w:div>
        <w:div w:id="1478301785">
          <w:marLeft w:val="0"/>
          <w:marRight w:val="0"/>
          <w:marTop w:val="0"/>
          <w:marBottom w:val="300"/>
          <w:divBdr>
            <w:top w:val="none" w:sz="0" w:space="0" w:color="auto"/>
            <w:left w:val="none" w:sz="0" w:space="0" w:color="auto"/>
            <w:bottom w:val="none" w:sz="0" w:space="0" w:color="auto"/>
            <w:right w:val="none" w:sz="0" w:space="0" w:color="auto"/>
          </w:divBdr>
        </w:div>
        <w:div w:id="440153493">
          <w:marLeft w:val="0"/>
          <w:marRight w:val="0"/>
          <w:marTop w:val="0"/>
          <w:marBottom w:val="300"/>
          <w:divBdr>
            <w:top w:val="none" w:sz="0" w:space="0" w:color="auto"/>
            <w:left w:val="none" w:sz="0" w:space="0" w:color="auto"/>
            <w:bottom w:val="none" w:sz="0" w:space="0" w:color="auto"/>
            <w:right w:val="none" w:sz="0" w:space="0" w:color="auto"/>
          </w:divBdr>
        </w:div>
        <w:div w:id="631399452">
          <w:marLeft w:val="0"/>
          <w:marRight w:val="0"/>
          <w:marTop w:val="0"/>
          <w:marBottom w:val="300"/>
          <w:divBdr>
            <w:top w:val="none" w:sz="0" w:space="0" w:color="auto"/>
            <w:left w:val="none" w:sz="0" w:space="0" w:color="auto"/>
            <w:bottom w:val="none" w:sz="0" w:space="0" w:color="auto"/>
            <w:right w:val="none" w:sz="0" w:space="0" w:color="auto"/>
          </w:divBdr>
        </w:div>
        <w:div w:id="815486244">
          <w:marLeft w:val="0"/>
          <w:marRight w:val="0"/>
          <w:marTop w:val="0"/>
          <w:marBottom w:val="300"/>
          <w:divBdr>
            <w:top w:val="none" w:sz="0" w:space="0" w:color="auto"/>
            <w:left w:val="none" w:sz="0" w:space="0" w:color="auto"/>
            <w:bottom w:val="none" w:sz="0" w:space="0" w:color="auto"/>
            <w:right w:val="none" w:sz="0" w:space="0" w:color="auto"/>
          </w:divBdr>
        </w:div>
        <w:div w:id="1666981445">
          <w:marLeft w:val="0"/>
          <w:marRight w:val="0"/>
          <w:marTop w:val="0"/>
          <w:marBottom w:val="300"/>
          <w:divBdr>
            <w:top w:val="none" w:sz="0" w:space="0" w:color="auto"/>
            <w:left w:val="none" w:sz="0" w:space="0" w:color="auto"/>
            <w:bottom w:val="none" w:sz="0" w:space="0" w:color="auto"/>
            <w:right w:val="none" w:sz="0" w:space="0" w:color="auto"/>
          </w:divBdr>
        </w:div>
        <w:div w:id="1439254789">
          <w:marLeft w:val="0"/>
          <w:marRight w:val="0"/>
          <w:marTop w:val="0"/>
          <w:marBottom w:val="300"/>
          <w:divBdr>
            <w:top w:val="none" w:sz="0" w:space="0" w:color="auto"/>
            <w:left w:val="none" w:sz="0" w:space="0" w:color="auto"/>
            <w:bottom w:val="none" w:sz="0" w:space="0" w:color="auto"/>
            <w:right w:val="none" w:sz="0" w:space="0" w:color="auto"/>
          </w:divBdr>
        </w:div>
        <w:div w:id="1344359068">
          <w:marLeft w:val="0"/>
          <w:marRight w:val="0"/>
          <w:marTop w:val="0"/>
          <w:marBottom w:val="300"/>
          <w:divBdr>
            <w:top w:val="none" w:sz="0" w:space="0" w:color="auto"/>
            <w:left w:val="none" w:sz="0" w:space="0" w:color="auto"/>
            <w:bottom w:val="none" w:sz="0" w:space="0" w:color="auto"/>
            <w:right w:val="none" w:sz="0" w:space="0" w:color="auto"/>
          </w:divBdr>
        </w:div>
        <w:div w:id="1554779826">
          <w:marLeft w:val="0"/>
          <w:marRight w:val="0"/>
          <w:marTop w:val="0"/>
          <w:marBottom w:val="300"/>
          <w:divBdr>
            <w:top w:val="none" w:sz="0" w:space="0" w:color="auto"/>
            <w:left w:val="none" w:sz="0" w:space="0" w:color="auto"/>
            <w:bottom w:val="none" w:sz="0" w:space="0" w:color="auto"/>
            <w:right w:val="none" w:sz="0" w:space="0" w:color="auto"/>
          </w:divBdr>
        </w:div>
        <w:div w:id="1635911581">
          <w:marLeft w:val="0"/>
          <w:marRight w:val="0"/>
          <w:marTop w:val="0"/>
          <w:marBottom w:val="300"/>
          <w:divBdr>
            <w:top w:val="none" w:sz="0" w:space="0" w:color="auto"/>
            <w:left w:val="none" w:sz="0" w:space="0" w:color="auto"/>
            <w:bottom w:val="none" w:sz="0" w:space="0" w:color="auto"/>
            <w:right w:val="none" w:sz="0" w:space="0" w:color="auto"/>
          </w:divBdr>
        </w:div>
        <w:div w:id="236323261">
          <w:marLeft w:val="0"/>
          <w:marRight w:val="0"/>
          <w:marTop w:val="0"/>
          <w:marBottom w:val="300"/>
          <w:divBdr>
            <w:top w:val="none" w:sz="0" w:space="0" w:color="auto"/>
            <w:left w:val="none" w:sz="0" w:space="0" w:color="auto"/>
            <w:bottom w:val="none" w:sz="0" w:space="0" w:color="auto"/>
            <w:right w:val="none" w:sz="0" w:space="0" w:color="auto"/>
          </w:divBdr>
        </w:div>
        <w:div w:id="948044498">
          <w:marLeft w:val="0"/>
          <w:marRight w:val="0"/>
          <w:marTop w:val="0"/>
          <w:marBottom w:val="300"/>
          <w:divBdr>
            <w:top w:val="none" w:sz="0" w:space="0" w:color="auto"/>
            <w:left w:val="none" w:sz="0" w:space="0" w:color="auto"/>
            <w:bottom w:val="none" w:sz="0" w:space="0" w:color="auto"/>
            <w:right w:val="none" w:sz="0" w:space="0" w:color="auto"/>
          </w:divBdr>
        </w:div>
        <w:div w:id="783884328">
          <w:marLeft w:val="0"/>
          <w:marRight w:val="0"/>
          <w:marTop w:val="0"/>
          <w:marBottom w:val="300"/>
          <w:divBdr>
            <w:top w:val="none" w:sz="0" w:space="0" w:color="auto"/>
            <w:left w:val="none" w:sz="0" w:space="0" w:color="auto"/>
            <w:bottom w:val="none" w:sz="0" w:space="0" w:color="auto"/>
            <w:right w:val="none" w:sz="0" w:space="0" w:color="auto"/>
          </w:divBdr>
        </w:div>
        <w:div w:id="791630015">
          <w:marLeft w:val="0"/>
          <w:marRight w:val="0"/>
          <w:marTop w:val="0"/>
          <w:marBottom w:val="300"/>
          <w:divBdr>
            <w:top w:val="none" w:sz="0" w:space="0" w:color="auto"/>
            <w:left w:val="none" w:sz="0" w:space="0" w:color="auto"/>
            <w:bottom w:val="none" w:sz="0" w:space="0" w:color="auto"/>
            <w:right w:val="none" w:sz="0" w:space="0" w:color="auto"/>
          </w:divBdr>
        </w:div>
        <w:div w:id="1425570517">
          <w:marLeft w:val="0"/>
          <w:marRight w:val="0"/>
          <w:marTop w:val="0"/>
          <w:marBottom w:val="300"/>
          <w:divBdr>
            <w:top w:val="none" w:sz="0" w:space="0" w:color="auto"/>
            <w:left w:val="none" w:sz="0" w:space="0" w:color="auto"/>
            <w:bottom w:val="none" w:sz="0" w:space="0" w:color="auto"/>
            <w:right w:val="none" w:sz="0" w:space="0" w:color="auto"/>
          </w:divBdr>
        </w:div>
        <w:div w:id="1463615693">
          <w:marLeft w:val="0"/>
          <w:marRight w:val="0"/>
          <w:marTop w:val="0"/>
          <w:marBottom w:val="300"/>
          <w:divBdr>
            <w:top w:val="none" w:sz="0" w:space="0" w:color="auto"/>
            <w:left w:val="none" w:sz="0" w:space="0" w:color="auto"/>
            <w:bottom w:val="none" w:sz="0" w:space="0" w:color="auto"/>
            <w:right w:val="none" w:sz="0" w:space="0" w:color="auto"/>
          </w:divBdr>
        </w:div>
        <w:div w:id="1356733143">
          <w:marLeft w:val="0"/>
          <w:marRight w:val="0"/>
          <w:marTop w:val="0"/>
          <w:marBottom w:val="300"/>
          <w:divBdr>
            <w:top w:val="none" w:sz="0" w:space="0" w:color="auto"/>
            <w:left w:val="none" w:sz="0" w:space="0" w:color="auto"/>
            <w:bottom w:val="none" w:sz="0" w:space="0" w:color="auto"/>
            <w:right w:val="none" w:sz="0" w:space="0" w:color="auto"/>
          </w:divBdr>
        </w:div>
        <w:div w:id="821581971">
          <w:marLeft w:val="0"/>
          <w:marRight w:val="0"/>
          <w:marTop w:val="0"/>
          <w:marBottom w:val="300"/>
          <w:divBdr>
            <w:top w:val="none" w:sz="0" w:space="0" w:color="auto"/>
            <w:left w:val="none" w:sz="0" w:space="0" w:color="auto"/>
            <w:bottom w:val="none" w:sz="0" w:space="0" w:color="auto"/>
            <w:right w:val="none" w:sz="0" w:space="0" w:color="auto"/>
          </w:divBdr>
        </w:div>
        <w:div w:id="258876699">
          <w:marLeft w:val="0"/>
          <w:marRight w:val="0"/>
          <w:marTop w:val="0"/>
          <w:marBottom w:val="300"/>
          <w:divBdr>
            <w:top w:val="none" w:sz="0" w:space="0" w:color="auto"/>
            <w:left w:val="none" w:sz="0" w:space="0" w:color="auto"/>
            <w:bottom w:val="none" w:sz="0" w:space="0" w:color="auto"/>
            <w:right w:val="none" w:sz="0" w:space="0" w:color="auto"/>
          </w:divBdr>
        </w:div>
        <w:div w:id="176776398">
          <w:marLeft w:val="0"/>
          <w:marRight w:val="0"/>
          <w:marTop w:val="0"/>
          <w:marBottom w:val="300"/>
          <w:divBdr>
            <w:top w:val="none" w:sz="0" w:space="0" w:color="auto"/>
            <w:left w:val="none" w:sz="0" w:space="0" w:color="auto"/>
            <w:bottom w:val="none" w:sz="0" w:space="0" w:color="auto"/>
            <w:right w:val="none" w:sz="0" w:space="0" w:color="auto"/>
          </w:divBdr>
        </w:div>
        <w:div w:id="1174034520">
          <w:marLeft w:val="0"/>
          <w:marRight w:val="0"/>
          <w:marTop w:val="0"/>
          <w:marBottom w:val="300"/>
          <w:divBdr>
            <w:top w:val="none" w:sz="0" w:space="0" w:color="auto"/>
            <w:left w:val="none" w:sz="0" w:space="0" w:color="auto"/>
            <w:bottom w:val="none" w:sz="0" w:space="0" w:color="auto"/>
            <w:right w:val="none" w:sz="0" w:space="0" w:color="auto"/>
          </w:divBdr>
        </w:div>
        <w:div w:id="1348024953">
          <w:marLeft w:val="0"/>
          <w:marRight w:val="0"/>
          <w:marTop w:val="0"/>
          <w:marBottom w:val="300"/>
          <w:divBdr>
            <w:top w:val="none" w:sz="0" w:space="0" w:color="auto"/>
            <w:left w:val="none" w:sz="0" w:space="0" w:color="auto"/>
            <w:bottom w:val="none" w:sz="0" w:space="0" w:color="auto"/>
            <w:right w:val="none" w:sz="0" w:space="0" w:color="auto"/>
          </w:divBdr>
        </w:div>
        <w:div w:id="1131363858">
          <w:marLeft w:val="0"/>
          <w:marRight w:val="0"/>
          <w:marTop w:val="0"/>
          <w:marBottom w:val="300"/>
          <w:divBdr>
            <w:top w:val="none" w:sz="0" w:space="0" w:color="auto"/>
            <w:left w:val="none" w:sz="0" w:space="0" w:color="auto"/>
            <w:bottom w:val="none" w:sz="0" w:space="0" w:color="auto"/>
            <w:right w:val="none" w:sz="0" w:space="0" w:color="auto"/>
          </w:divBdr>
        </w:div>
        <w:div w:id="1634746622">
          <w:marLeft w:val="0"/>
          <w:marRight w:val="0"/>
          <w:marTop w:val="0"/>
          <w:marBottom w:val="300"/>
          <w:divBdr>
            <w:top w:val="none" w:sz="0" w:space="0" w:color="auto"/>
            <w:left w:val="none" w:sz="0" w:space="0" w:color="auto"/>
            <w:bottom w:val="none" w:sz="0" w:space="0" w:color="auto"/>
            <w:right w:val="none" w:sz="0" w:space="0" w:color="auto"/>
          </w:divBdr>
        </w:div>
        <w:div w:id="1645042690">
          <w:marLeft w:val="0"/>
          <w:marRight w:val="0"/>
          <w:marTop w:val="0"/>
          <w:marBottom w:val="300"/>
          <w:divBdr>
            <w:top w:val="none" w:sz="0" w:space="0" w:color="auto"/>
            <w:left w:val="none" w:sz="0" w:space="0" w:color="auto"/>
            <w:bottom w:val="none" w:sz="0" w:space="0" w:color="auto"/>
            <w:right w:val="none" w:sz="0" w:space="0" w:color="auto"/>
          </w:divBdr>
        </w:div>
        <w:div w:id="1261177255">
          <w:marLeft w:val="0"/>
          <w:marRight w:val="0"/>
          <w:marTop w:val="0"/>
          <w:marBottom w:val="300"/>
          <w:divBdr>
            <w:top w:val="none" w:sz="0" w:space="0" w:color="auto"/>
            <w:left w:val="none" w:sz="0" w:space="0" w:color="auto"/>
            <w:bottom w:val="none" w:sz="0" w:space="0" w:color="auto"/>
            <w:right w:val="none" w:sz="0" w:space="0" w:color="auto"/>
          </w:divBdr>
        </w:div>
        <w:div w:id="1509636866">
          <w:marLeft w:val="0"/>
          <w:marRight w:val="0"/>
          <w:marTop w:val="0"/>
          <w:marBottom w:val="300"/>
          <w:divBdr>
            <w:top w:val="none" w:sz="0" w:space="0" w:color="auto"/>
            <w:left w:val="none" w:sz="0" w:space="0" w:color="auto"/>
            <w:bottom w:val="none" w:sz="0" w:space="0" w:color="auto"/>
            <w:right w:val="none" w:sz="0" w:space="0" w:color="auto"/>
          </w:divBdr>
        </w:div>
        <w:div w:id="1149638492">
          <w:marLeft w:val="0"/>
          <w:marRight w:val="0"/>
          <w:marTop w:val="0"/>
          <w:marBottom w:val="300"/>
          <w:divBdr>
            <w:top w:val="none" w:sz="0" w:space="0" w:color="auto"/>
            <w:left w:val="none" w:sz="0" w:space="0" w:color="auto"/>
            <w:bottom w:val="none" w:sz="0" w:space="0" w:color="auto"/>
            <w:right w:val="none" w:sz="0" w:space="0" w:color="auto"/>
          </w:divBdr>
        </w:div>
        <w:div w:id="1139610911">
          <w:marLeft w:val="0"/>
          <w:marRight w:val="0"/>
          <w:marTop w:val="0"/>
          <w:marBottom w:val="300"/>
          <w:divBdr>
            <w:top w:val="none" w:sz="0" w:space="0" w:color="auto"/>
            <w:left w:val="none" w:sz="0" w:space="0" w:color="auto"/>
            <w:bottom w:val="none" w:sz="0" w:space="0" w:color="auto"/>
            <w:right w:val="none" w:sz="0" w:space="0" w:color="auto"/>
          </w:divBdr>
        </w:div>
        <w:div w:id="1365331015">
          <w:marLeft w:val="0"/>
          <w:marRight w:val="0"/>
          <w:marTop w:val="0"/>
          <w:marBottom w:val="300"/>
          <w:divBdr>
            <w:top w:val="none" w:sz="0" w:space="0" w:color="auto"/>
            <w:left w:val="none" w:sz="0" w:space="0" w:color="auto"/>
            <w:bottom w:val="none" w:sz="0" w:space="0" w:color="auto"/>
            <w:right w:val="none" w:sz="0" w:space="0" w:color="auto"/>
          </w:divBdr>
        </w:div>
        <w:div w:id="1552233711">
          <w:marLeft w:val="0"/>
          <w:marRight w:val="0"/>
          <w:marTop w:val="0"/>
          <w:marBottom w:val="300"/>
          <w:divBdr>
            <w:top w:val="none" w:sz="0" w:space="0" w:color="auto"/>
            <w:left w:val="none" w:sz="0" w:space="0" w:color="auto"/>
            <w:bottom w:val="none" w:sz="0" w:space="0" w:color="auto"/>
            <w:right w:val="none" w:sz="0" w:space="0" w:color="auto"/>
          </w:divBdr>
        </w:div>
        <w:div w:id="1211960326">
          <w:marLeft w:val="0"/>
          <w:marRight w:val="0"/>
          <w:marTop w:val="0"/>
          <w:marBottom w:val="300"/>
          <w:divBdr>
            <w:top w:val="none" w:sz="0" w:space="0" w:color="auto"/>
            <w:left w:val="none" w:sz="0" w:space="0" w:color="auto"/>
            <w:bottom w:val="none" w:sz="0" w:space="0" w:color="auto"/>
            <w:right w:val="none" w:sz="0" w:space="0" w:color="auto"/>
          </w:divBdr>
        </w:div>
        <w:div w:id="1260026352">
          <w:marLeft w:val="0"/>
          <w:marRight w:val="0"/>
          <w:marTop w:val="0"/>
          <w:marBottom w:val="300"/>
          <w:divBdr>
            <w:top w:val="none" w:sz="0" w:space="0" w:color="auto"/>
            <w:left w:val="none" w:sz="0" w:space="0" w:color="auto"/>
            <w:bottom w:val="none" w:sz="0" w:space="0" w:color="auto"/>
            <w:right w:val="none" w:sz="0" w:space="0" w:color="auto"/>
          </w:divBdr>
        </w:div>
        <w:div w:id="332345285">
          <w:marLeft w:val="0"/>
          <w:marRight w:val="0"/>
          <w:marTop w:val="0"/>
          <w:marBottom w:val="300"/>
          <w:divBdr>
            <w:top w:val="none" w:sz="0" w:space="0" w:color="auto"/>
            <w:left w:val="none" w:sz="0" w:space="0" w:color="auto"/>
            <w:bottom w:val="none" w:sz="0" w:space="0" w:color="auto"/>
            <w:right w:val="none" w:sz="0" w:space="0" w:color="auto"/>
          </w:divBdr>
        </w:div>
        <w:div w:id="1050836890">
          <w:marLeft w:val="0"/>
          <w:marRight w:val="0"/>
          <w:marTop w:val="0"/>
          <w:marBottom w:val="300"/>
          <w:divBdr>
            <w:top w:val="none" w:sz="0" w:space="0" w:color="auto"/>
            <w:left w:val="none" w:sz="0" w:space="0" w:color="auto"/>
            <w:bottom w:val="none" w:sz="0" w:space="0" w:color="auto"/>
            <w:right w:val="none" w:sz="0" w:space="0" w:color="auto"/>
          </w:divBdr>
        </w:div>
        <w:div w:id="1449541847">
          <w:marLeft w:val="0"/>
          <w:marRight w:val="0"/>
          <w:marTop w:val="0"/>
          <w:marBottom w:val="300"/>
          <w:divBdr>
            <w:top w:val="none" w:sz="0" w:space="0" w:color="auto"/>
            <w:left w:val="none" w:sz="0" w:space="0" w:color="auto"/>
            <w:bottom w:val="none" w:sz="0" w:space="0" w:color="auto"/>
            <w:right w:val="none" w:sz="0" w:space="0" w:color="auto"/>
          </w:divBdr>
        </w:div>
        <w:div w:id="101922772">
          <w:marLeft w:val="0"/>
          <w:marRight w:val="0"/>
          <w:marTop w:val="0"/>
          <w:marBottom w:val="300"/>
          <w:divBdr>
            <w:top w:val="none" w:sz="0" w:space="0" w:color="auto"/>
            <w:left w:val="none" w:sz="0" w:space="0" w:color="auto"/>
            <w:bottom w:val="none" w:sz="0" w:space="0" w:color="auto"/>
            <w:right w:val="none" w:sz="0" w:space="0" w:color="auto"/>
          </w:divBdr>
        </w:div>
        <w:div w:id="1599869315">
          <w:marLeft w:val="0"/>
          <w:marRight w:val="0"/>
          <w:marTop w:val="0"/>
          <w:marBottom w:val="300"/>
          <w:divBdr>
            <w:top w:val="none" w:sz="0" w:space="0" w:color="auto"/>
            <w:left w:val="none" w:sz="0" w:space="0" w:color="auto"/>
            <w:bottom w:val="none" w:sz="0" w:space="0" w:color="auto"/>
            <w:right w:val="none" w:sz="0" w:space="0" w:color="auto"/>
          </w:divBdr>
        </w:div>
        <w:div w:id="1597053234">
          <w:marLeft w:val="0"/>
          <w:marRight w:val="0"/>
          <w:marTop w:val="0"/>
          <w:marBottom w:val="300"/>
          <w:divBdr>
            <w:top w:val="none" w:sz="0" w:space="0" w:color="auto"/>
            <w:left w:val="none" w:sz="0" w:space="0" w:color="auto"/>
            <w:bottom w:val="none" w:sz="0" w:space="0" w:color="auto"/>
            <w:right w:val="none" w:sz="0" w:space="0" w:color="auto"/>
          </w:divBdr>
        </w:div>
        <w:div w:id="572743164">
          <w:marLeft w:val="0"/>
          <w:marRight w:val="0"/>
          <w:marTop w:val="0"/>
          <w:marBottom w:val="300"/>
          <w:divBdr>
            <w:top w:val="none" w:sz="0" w:space="0" w:color="auto"/>
            <w:left w:val="none" w:sz="0" w:space="0" w:color="auto"/>
            <w:bottom w:val="none" w:sz="0" w:space="0" w:color="auto"/>
            <w:right w:val="none" w:sz="0" w:space="0" w:color="auto"/>
          </w:divBdr>
        </w:div>
        <w:div w:id="578057568">
          <w:marLeft w:val="0"/>
          <w:marRight w:val="0"/>
          <w:marTop w:val="0"/>
          <w:marBottom w:val="300"/>
          <w:divBdr>
            <w:top w:val="none" w:sz="0" w:space="0" w:color="auto"/>
            <w:left w:val="none" w:sz="0" w:space="0" w:color="auto"/>
            <w:bottom w:val="none" w:sz="0" w:space="0" w:color="auto"/>
            <w:right w:val="none" w:sz="0" w:space="0" w:color="auto"/>
          </w:divBdr>
        </w:div>
        <w:div w:id="313871552">
          <w:marLeft w:val="0"/>
          <w:marRight w:val="0"/>
          <w:marTop w:val="0"/>
          <w:marBottom w:val="300"/>
          <w:divBdr>
            <w:top w:val="none" w:sz="0" w:space="0" w:color="auto"/>
            <w:left w:val="none" w:sz="0" w:space="0" w:color="auto"/>
            <w:bottom w:val="none" w:sz="0" w:space="0" w:color="auto"/>
            <w:right w:val="none" w:sz="0" w:space="0" w:color="auto"/>
          </w:divBdr>
        </w:div>
        <w:div w:id="1894346293">
          <w:marLeft w:val="0"/>
          <w:marRight w:val="0"/>
          <w:marTop w:val="0"/>
          <w:marBottom w:val="300"/>
          <w:divBdr>
            <w:top w:val="none" w:sz="0" w:space="0" w:color="auto"/>
            <w:left w:val="none" w:sz="0" w:space="0" w:color="auto"/>
            <w:bottom w:val="none" w:sz="0" w:space="0" w:color="auto"/>
            <w:right w:val="none" w:sz="0" w:space="0" w:color="auto"/>
          </w:divBdr>
        </w:div>
        <w:div w:id="440951579">
          <w:marLeft w:val="0"/>
          <w:marRight w:val="0"/>
          <w:marTop w:val="0"/>
          <w:marBottom w:val="300"/>
          <w:divBdr>
            <w:top w:val="none" w:sz="0" w:space="0" w:color="auto"/>
            <w:left w:val="none" w:sz="0" w:space="0" w:color="auto"/>
            <w:bottom w:val="none" w:sz="0" w:space="0" w:color="auto"/>
            <w:right w:val="none" w:sz="0" w:space="0" w:color="auto"/>
          </w:divBdr>
        </w:div>
        <w:div w:id="609434030">
          <w:marLeft w:val="0"/>
          <w:marRight w:val="0"/>
          <w:marTop w:val="0"/>
          <w:marBottom w:val="300"/>
          <w:divBdr>
            <w:top w:val="none" w:sz="0" w:space="0" w:color="auto"/>
            <w:left w:val="none" w:sz="0" w:space="0" w:color="auto"/>
            <w:bottom w:val="none" w:sz="0" w:space="0" w:color="auto"/>
            <w:right w:val="none" w:sz="0" w:space="0" w:color="auto"/>
          </w:divBdr>
        </w:div>
        <w:div w:id="1841853289">
          <w:marLeft w:val="0"/>
          <w:marRight w:val="0"/>
          <w:marTop w:val="0"/>
          <w:marBottom w:val="300"/>
          <w:divBdr>
            <w:top w:val="none" w:sz="0" w:space="0" w:color="auto"/>
            <w:left w:val="none" w:sz="0" w:space="0" w:color="auto"/>
            <w:bottom w:val="none" w:sz="0" w:space="0" w:color="auto"/>
            <w:right w:val="none" w:sz="0" w:space="0" w:color="auto"/>
          </w:divBdr>
        </w:div>
        <w:div w:id="797140342">
          <w:marLeft w:val="0"/>
          <w:marRight w:val="0"/>
          <w:marTop w:val="0"/>
          <w:marBottom w:val="300"/>
          <w:divBdr>
            <w:top w:val="none" w:sz="0" w:space="0" w:color="auto"/>
            <w:left w:val="none" w:sz="0" w:space="0" w:color="auto"/>
            <w:bottom w:val="none" w:sz="0" w:space="0" w:color="auto"/>
            <w:right w:val="none" w:sz="0" w:space="0" w:color="auto"/>
          </w:divBdr>
        </w:div>
        <w:div w:id="2090613898">
          <w:marLeft w:val="0"/>
          <w:marRight w:val="0"/>
          <w:marTop w:val="0"/>
          <w:marBottom w:val="300"/>
          <w:divBdr>
            <w:top w:val="none" w:sz="0" w:space="0" w:color="auto"/>
            <w:left w:val="none" w:sz="0" w:space="0" w:color="auto"/>
            <w:bottom w:val="none" w:sz="0" w:space="0" w:color="auto"/>
            <w:right w:val="none" w:sz="0" w:space="0" w:color="auto"/>
          </w:divBdr>
        </w:div>
        <w:div w:id="198131697">
          <w:marLeft w:val="0"/>
          <w:marRight w:val="0"/>
          <w:marTop w:val="0"/>
          <w:marBottom w:val="300"/>
          <w:divBdr>
            <w:top w:val="none" w:sz="0" w:space="0" w:color="auto"/>
            <w:left w:val="none" w:sz="0" w:space="0" w:color="auto"/>
            <w:bottom w:val="none" w:sz="0" w:space="0" w:color="auto"/>
            <w:right w:val="none" w:sz="0" w:space="0" w:color="auto"/>
          </w:divBdr>
        </w:div>
        <w:div w:id="482893707">
          <w:marLeft w:val="0"/>
          <w:marRight w:val="0"/>
          <w:marTop w:val="0"/>
          <w:marBottom w:val="300"/>
          <w:divBdr>
            <w:top w:val="none" w:sz="0" w:space="0" w:color="auto"/>
            <w:left w:val="none" w:sz="0" w:space="0" w:color="auto"/>
            <w:bottom w:val="none" w:sz="0" w:space="0" w:color="auto"/>
            <w:right w:val="none" w:sz="0" w:space="0" w:color="auto"/>
          </w:divBdr>
        </w:div>
        <w:div w:id="20375367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soa.it/documents/fisco/crediti-dimposta/quotidiano/2021/11/12/superbonus-pubblicato-gazzetta-ufficiale-dl-fro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2857</Words>
  <Characters>16287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5</cp:revision>
  <dcterms:created xsi:type="dcterms:W3CDTF">2022-01-02T09:19:00Z</dcterms:created>
  <dcterms:modified xsi:type="dcterms:W3CDTF">2022-01-02T10:07:00Z</dcterms:modified>
</cp:coreProperties>
</file>